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EAB8B" w14:textId="77777777" w:rsidR="00C227CD" w:rsidRDefault="00C227CD" w:rsidP="00C227CD">
      <w:pPr>
        <w:pStyle w:val="Tytu"/>
        <w:spacing w:line="276" w:lineRule="auto"/>
        <w:jc w:val="center"/>
        <w:rPr>
          <w:sz w:val="72"/>
        </w:rPr>
      </w:pPr>
      <w:bookmarkStart w:id="0" w:name="_Toc506902124"/>
      <w:bookmarkStart w:id="1" w:name="_GoBack"/>
      <w:bookmarkEnd w:id="1"/>
    </w:p>
    <w:p w14:paraId="778E5281" w14:textId="4A9C9937" w:rsidR="00C227CD" w:rsidRDefault="00C227CD" w:rsidP="00C227CD">
      <w:pPr>
        <w:pStyle w:val="Tytu"/>
        <w:spacing w:line="276" w:lineRule="auto"/>
        <w:jc w:val="center"/>
        <w:rPr>
          <w:sz w:val="72"/>
        </w:rPr>
      </w:pPr>
      <w:r w:rsidRPr="00407EDB">
        <w:rPr>
          <w:sz w:val="72"/>
        </w:rPr>
        <w:t xml:space="preserve">Program Rozwoju </w:t>
      </w:r>
      <w:r w:rsidRPr="00407EDB">
        <w:rPr>
          <w:sz w:val="72"/>
        </w:rPr>
        <w:br/>
        <w:t xml:space="preserve">Organizacji Obywatelskich </w:t>
      </w:r>
      <w:r w:rsidRPr="00407EDB">
        <w:rPr>
          <w:sz w:val="72"/>
        </w:rPr>
        <w:br/>
        <w:t>na lata 2018–2030</w:t>
      </w:r>
    </w:p>
    <w:p w14:paraId="2A0014F4" w14:textId="77777777" w:rsidR="00C227CD" w:rsidRPr="00D57E40" w:rsidRDefault="00C227CD" w:rsidP="00D57E40"/>
    <w:p w14:paraId="6030924E" w14:textId="77777777" w:rsidR="00C227CD" w:rsidRPr="000967AE" w:rsidRDefault="00C227CD" w:rsidP="00C227CD">
      <w:pPr>
        <w:pStyle w:val="Tytu"/>
        <w:jc w:val="center"/>
        <w:rPr>
          <w:sz w:val="144"/>
        </w:rPr>
      </w:pPr>
      <w:r w:rsidRPr="000967AE">
        <w:rPr>
          <w:sz w:val="144"/>
        </w:rPr>
        <w:t>PROO</w:t>
      </w:r>
    </w:p>
    <w:p w14:paraId="7AB8DCE1" w14:textId="73E93D27" w:rsidR="00CF3222" w:rsidRPr="00C227CD" w:rsidRDefault="00CF3222" w:rsidP="00C227CD">
      <w:r>
        <w:br w:type="page"/>
      </w:r>
    </w:p>
    <w:p w14:paraId="2F073306" w14:textId="08C19DB5" w:rsidR="00CF3222" w:rsidRDefault="00CF3222">
      <w:pPr>
        <w:spacing w:after="160" w:line="259" w:lineRule="auto"/>
        <w:jc w:val="left"/>
      </w:pPr>
    </w:p>
    <w:sdt>
      <w:sdtPr>
        <w:rPr>
          <w:rFonts w:ascii="Calibri Light" w:eastAsiaTheme="minorHAnsi" w:hAnsi="Calibri Light" w:cstheme="minorBidi"/>
          <w:color w:val="auto"/>
          <w:sz w:val="24"/>
          <w:szCs w:val="22"/>
          <w:lang w:eastAsia="en-US"/>
        </w:rPr>
        <w:id w:val="1431544356"/>
        <w:docPartObj>
          <w:docPartGallery w:val="Table of Contents"/>
          <w:docPartUnique/>
        </w:docPartObj>
      </w:sdtPr>
      <w:sdtEndPr>
        <w:rPr>
          <w:b/>
          <w:bCs/>
        </w:rPr>
      </w:sdtEndPr>
      <w:sdtContent>
        <w:p w14:paraId="7A31207B" w14:textId="46F47142" w:rsidR="00CF3222" w:rsidRDefault="00CF3222">
          <w:pPr>
            <w:pStyle w:val="Nagwekspisutreci"/>
          </w:pPr>
          <w:r>
            <w:t>Spis treści</w:t>
          </w:r>
        </w:p>
        <w:p w14:paraId="77523521" w14:textId="6426C0B3" w:rsidR="006719DB" w:rsidRDefault="00CF3222">
          <w:pPr>
            <w:pStyle w:val="Spistreci1"/>
            <w:tabs>
              <w:tab w:val="right" w:leader="dot" w:pos="9062"/>
            </w:tabs>
            <w:rPr>
              <w:rFonts w:asciiTheme="minorHAnsi" w:eastAsiaTheme="minorEastAsia" w:hAnsiTheme="minorHAnsi"/>
              <w:noProof/>
              <w:sz w:val="22"/>
              <w:lang w:eastAsia="pl-PL"/>
            </w:rPr>
          </w:pPr>
          <w:r>
            <w:fldChar w:fldCharType="begin"/>
          </w:r>
          <w:r>
            <w:instrText xml:space="preserve"> TOC \o "1-1" \h \z \u </w:instrText>
          </w:r>
          <w:r>
            <w:fldChar w:fldCharType="separate"/>
          </w:r>
          <w:hyperlink w:anchor="_Toc516642769" w:history="1">
            <w:r w:rsidR="006719DB" w:rsidRPr="00443B25">
              <w:rPr>
                <w:rStyle w:val="Hipercze"/>
                <w:noProof/>
              </w:rPr>
              <w:t>1. Ramy prawne i spójność strategiczna Programu</w:t>
            </w:r>
            <w:r w:rsidR="006719DB">
              <w:rPr>
                <w:noProof/>
                <w:webHidden/>
              </w:rPr>
              <w:tab/>
            </w:r>
            <w:r w:rsidR="006719DB">
              <w:rPr>
                <w:noProof/>
                <w:webHidden/>
              </w:rPr>
              <w:fldChar w:fldCharType="begin"/>
            </w:r>
            <w:r w:rsidR="006719DB">
              <w:rPr>
                <w:noProof/>
                <w:webHidden/>
              </w:rPr>
              <w:instrText xml:space="preserve"> PAGEREF _Toc516642769 \h </w:instrText>
            </w:r>
            <w:r w:rsidR="006719DB">
              <w:rPr>
                <w:noProof/>
                <w:webHidden/>
              </w:rPr>
            </w:r>
            <w:r w:rsidR="006719DB">
              <w:rPr>
                <w:noProof/>
                <w:webHidden/>
              </w:rPr>
              <w:fldChar w:fldCharType="separate"/>
            </w:r>
            <w:r w:rsidR="00E74C5A">
              <w:rPr>
                <w:noProof/>
                <w:webHidden/>
              </w:rPr>
              <w:t>4</w:t>
            </w:r>
            <w:r w:rsidR="006719DB">
              <w:rPr>
                <w:noProof/>
                <w:webHidden/>
              </w:rPr>
              <w:fldChar w:fldCharType="end"/>
            </w:r>
          </w:hyperlink>
        </w:p>
        <w:p w14:paraId="27CD37D7" w14:textId="2B421C7D" w:rsidR="006719DB" w:rsidRDefault="00876468">
          <w:pPr>
            <w:pStyle w:val="Spistreci1"/>
            <w:tabs>
              <w:tab w:val="right" w:leader="dot" w:pos="9062"/>
            </w:tabs>
            <w:rPr>
              <w:rFonts w:asciiTheme="minorHAnsi" w:eastAsiaTheme="minorEastAsia" w:hAnsiTheme="minorHAnsi"/>
              <w:noProof/>
              <w:sz w:val="22"/>
              <w:lang w:eastAsia="pl-PL"/>
            </w:rPr>
          </w:pPr>
          <w:hyperlink w:anchor="_Toc516642770" w:history="1">
            <w:r w:rsidR="006719DB" w:rsidRPr="00443B25">
              <w:rPr>
                <w:rStyle w:val="Hipercze"/>
                <w:noProof/>
              </w:rPr>
              <w:t>2. Diagnoza rozwoju instytucjonalnego organizacji obywatelskich</w:t>
            </w:r>
            <w:r w:rsidR="006719DB">
              <w:rPr>
                <w:noProof/>
                <w:webHidden/>
              </w:rPr>
              <w:tab/>
            </w:r>
            <w:r w:rsidR="006719DB">
              <w:rPr>
                <w:noProof/>
                <w:webHidden/>
              </w:rPr>
              <w:fldChar w:fldCharType="begin"/>
            </w:r>
            <w:r w:rsidR="006719DB">
              <w:rPr>
                <w:noProof/>
                <w:webHidden/>
              </w:rPr>
              <w:instrText xml:space="preserve"> PAGEREF _Toc516642770 \h </w:instrText>
            </w:r>
            <w:r w:rsidR="006719DB">
              <w:rPr>
                <w:noProof/>
                <w:webHidden/>
              </w:rPr>
            </w:r>
            <w:r w:rsidR="006719DB">
              <w:rPr>
                <w:noProof/>
                <w:webHidden/>
              </w:rPr>
              <w:fldChar w:fldCharType="separate"/>
            </w:r>
            <w:r w:rsidR="00E74C5A">
              <w:rPr>
                <w:noProof/>
                <w:webHidden/>
              </w:rPr>
              <w:t>8</w:t>
            </w:r>
            <w:r w:rsidR="006719DB">
              <w:rPr>
                <w:noProof/>
                <w:webHidden/>
              </w:rPr>
              <w:fldChar w:fldCharType="end"/>
            </w:r>
          </w:hyperlink>
        </w:p>
        <w:p w14:paraId="06E3E888" w14:textId="2081753E" w:rsidR="006719DB" w:rsidRDefault="00876468">
          <w:pPr>
            <w:pStyle w:val="Spistreci1"/>
            <w:tabs>
              <w:tab w:val="right" w:leader="dot" w:pos="9062"/>
            </w:tabs>
            <w:rPr>
              <w:rFonts w:asciiTheme="minorHAnsi" w:eastAsiaTheme="minorEastAsia" w:hAnsiTheme="minorHAnsi"/>
              <w:noProof/>
              <w:sz w:val="22"/>
              <w:lang w:eastAsia="pl-PL"/>
            </w:rPr>
          </w:pPr>
          <w:hyperlink w:anchor="_Toc516642771" w:history="1">
            <w:r w:rsidR="006719DB" w:rsidRPr="00443B25">
              <w:rPr>
                <w:rStyle w:val="Hipercze"/>
                <w:rFonts w:eastAsia="Times New Roman"/>
                <w:noProof/>
              </w:rPr>
              <w:t>3. Cele Programu</w:t>
            </w:r>
            <w:r w:rsidR="006719DB">
              <w:rPr>
                <w:noProof/>
                <w:webHidden/>
              </w:rPr>
              <w:tab/>
            </w:r>
            <w:r w:rsidR="006719DB">
              <w:rPr>
                <w:noProof/>
                <w:webHidden/>
              </w:rPr>
              <w:fldChar w:fldCharType="begin"/>
            </w:r>
            <w:r w:rsidR="006719DB">
              <w:rPr>
                <w:noProof/>
                <w:webHidden/>
              </w:rPr>
              <w:instrText xml:space="preserve"> PAGEREF _Toc516642771 \h </w:instrText>
            </w:r>
            <w:r w:rsidR="006719DB">
              <w:rPr>
                <w:noProof/>
                <w:webHidden/>
              </w:rPr>
            </w:r>
            <w:r w:rsidR="006719DB">
              <w:rPr>
                <w:noProof/>
                <w:webHidden/>
              </w:rPr>
              <w:fldChar w:fldCharType="separate"/>
            </w:r>
            <w:r w:rsidR="00E74C5A">
              <w:rPr>
                <w:noProof/>
                <w:webHidden/>
              </w:rPr>
              <w:t>41</w:t>
            </w:r>
            <w:r w:rsidR="006719DB">
              <w:rPr>
                <w:noProof/>
                <w:webHidden/>
              </w:rPr>
              <w:fldChar w:fldCharType="end"/>
            </w:r>
          </w:hyperlink>
        </w:p>
        <w:p w14:paraId="705C7070" w14:textId="36B5E545" w:rsidR="006719DB" w:rsidRDefault="00876468">
          <w:pPr>
            <w:pStyle w:val="Spistreci1"/>
            <w:tabs>
              <w:tab w:val="right" w:leader="dot" w:pos="9062"/>
            </w:tabs>
            <w:rPr>
              <w:rFonts w:asciiTheme="minorHAnsi" w:eastAsiaTheme="minorEastAsia" w:hAnsiTheme="minorHAnsi"/>
              <w:noProof/>
              <w:sz w:val="22"/>
              <w:lang w:eastAsia="pl-PL"/>
            </w:rPr>
          </w:pPr>
          <w:hyperlink w:anchor="_Toc516642772" w:history="1">
            <w:r w:rsidR="006719DB" w:rsidRPr="00443B25">
              <w:rPr>
                <w:rStyle w:val="Hipercze"/>
                <w:rFonts w:eastAsia="Times New Roman" w:cs="Calibri Light"/>
                <w:noProof/>
              </w:rPr>
              <w:t>4. Priorytety Programu</w:t>
            </w:r>
            <w:r w:rsidR="006719DB">
              <w:rPr>
                <w:noProof/>
                <w:webHidden/>
              </w:rPr>
              <w:tab/>
            </w:r>
            <w:r w:rsidR="006719DB">
              <w:rPr>
                <w:noProof/>
                <w:webHidden/>
              </w:rPr>
              <w:fldChar w:fldCharType="begin"/>
            </w:r>
            <w:r w:rsidR="006719DB">
              <w:rPr>
                <w:noProof/>
                <w:webHidden/>
              </w:rPr>
              <w:instrText xml:space="preserve"> PAGEREF _Toc516642772 \h </w:instrText>
            </w:r>
            <w:r w:rsidR="006719DB">
              <w:rPr>
                <w:noProof/>
                <w:webHidden/>
              </w:rPr>
            </w:r>
            <w:r w:rsidR="006719DB">
              <w:rPr>
                <w:noProof/>
                <w:webHidden/>
              </w:rPr>
              <w:fldChar w:fldCharType="separate"/>
            </w:r>
            <w:r w:rsidR="00E74C5A">
              <w:rPr>
                <w:noProof/>
                <w:webHidden/>
              </w:rPr>
              <w:t>45</w:t>
            </w:r>
            <w:r w:rsidR="006719DB">
              <w:rPr>
                <w:noProof/>
                <w:webHidden/>
              </w:rPr>
              <w:fldChar w:fldCharType="end"/>
            </w:r>
          </w:hyperlink>
        </w:p>
        <w:p w14:paraId="25525A05" w14:textId="44B64CFE" w:rsidR="006719DB" w:rsidRDefault="00876468">
          <w:pPr>
            <w:pStyle w:val="Spistreci1"/>
            <w:tabs>
              <w:tab w:val="right" w:leader="dot" w:pos="9062"/>
            </w:tabs>
            <w:rPr>
              <w:rFonts w:asciiTheme="minorHAnsi" w:eastAsiaTheme="minorEastAsia" w:hAnsiTheme="minorHAnsi"/>
              <w:noProof/>
              <w:sz w:val="22"/>
              <w:lang w:eastAsia="pl-PL"/>
            </w:rPr>
          </w:pPr>
          <w:hyperlink w:anchor="_Toc516642773" w:history="1">
            <w:r w:rsidR="006719DB" w:rsidRPr="00443B25">
              <w:rPr>
                <w:rStyle w:val="Hipercze"/>
                <w:noProof/>
              </w:rPr>
              <w:t>5. Rezultaty Programu</w:t>
            </w:r>
            <w:r w:rsidR="006719DB">
              <w:rPr>
                <w:noProof/>
                <w:webHidden/>
              </w:rPr>
              <w:tab/>
            </w:r>
            <w:r w:rsidR="006719DB">
              <w:rPr>
                <w:noProof/>
                <w:webHidden/>
              </w:rPr>
              <w:fldChar w:fldCharType="begin"/>
            </w:r>
            <w:r w:rsidR="006719DB">
              <w:rPr>
                <w:noProof/>
                <w:webHidden/>
              </w:rPr>
              <w:instrText xml:space="preserve"> PAGEREF _Toc516642773 \h </w:instrText>
            </w:r>
            <w:r w:rsidR="006719DB">
              <w:rPr>
                <w:noProof/>
                <w:webHidden/>
              </w:rPr>
            </w:r>
            <w:r w:rsidR="006719DB">
              <w:rPr>
                <w:noProof/>
                <w:webHidden/>
              </w:rPr>
              <w:fldChar w:fldCharType="separate"/>
            </w:r>
            <w:r w:rsidR="00E74C5A">
              <w:rPr>
                <w:noProof/>
                <w:webHidden/>
              </w:rPr>
              <w:t>54</w:t>
            </w:r>
            <w:r w:rsidR="006719DB">
              <w:rPr>
                <w:noProof/>
                <w:webHidden/>
              </w:rPr>
              <w:fldChar w:fldCharType="end"/>
            </w:r>
          </w:hyperlink>
        </w:p>
        <w:p w14:paraId="635449DB" w14:textId="696821E0" w:rsidR="006719DB" w:rsidRDefault="00876468">
          <w:pPr>
            <w:pStyle w:val="Spistreci1"/>
            <w:tabs>
              <w:tab w:val="right" w:leader="dot" w:pos="9062"/>
            </w:tabs>
            <w:rPr>
              <w:rFonts w:asciiTheme="minorHAnsi" w:eastAsiaTheme="minorEastAsia" w:hAnsiTheme="minorHAnsi"/>
              <w:noProof/>
              <w:sz w:val="22"/>
              <w:lang w:eastAsia="pl-PL"/>
            </w:rPr>
          </w:pPr>
          <w:hyperlink w:anchor="_Toc516642774" w:history="1">
            <w:r w:rsidR="006719DB" w:rsidRPr="00443B25">
              <w:rPr>
                <w:rStyle w:val="Hipercze"/>
                <w:noProof/>
              </w:rPr>
              <w:t>6. System realizacji Programu</w:t>
            </w:r>
            <w:r w:rsidR="006719DB">
              <w:rPr>
                <w:noProof/>
                <w:webHidden/>
              </w:rPr>
              <w:tab/>
            </w:r>
            <w:r w:rsidR="006719DB">
              <w:rPr>
                <w:noProof/>
                <w:webHidden/>
              </w:rPr>
              <w:fldChar w:fldCharType="begin"/>
            </w:r>
            <w:r w:rsidR="006719DB">
              <w:rPr>
                <w:noProof/>
                <w:webHidden/>
              </w:rPr>
              <w:instrText xml:space="preserve"> PAGEREF _Toc516642774 \h </w:instrText>
            </w:r>
            <w:r w:rsidR="006719DB">
              <w:rPr>
                <w:noProof/>
                <w:webHidden/>
              </w:rPr>
            </w:r>
            <w:r w:rsidR="006719DB">
              <w:rPr>
                <w:noProof/>
                <w:webHidden/>
              </w:rPr>
              <w:fldChar w:fldCharType="separate"/>
            </w:r>
            <w:r w:rsidR="00E74C5A">
              <w:rPr>
                <w:noProof/>
                <w:webHidden/>
              </w:rPr>
              <w:t>59</w:t>
            </w:r>
            <w:r w:rsidR="006719DB">
              <w:rPr>
                <w:noProof/>
                <w:webHidden/>
              </w:rPr>
              <w:fldChar w:fldCharType="end"/>
            </w:r>
          </w:hyperlink>
        </w:p>
        <w:p w14:paraId="33A240CF" w14:textId="41D47CDE" w:rsidR="006719DB" w:rsidRDefault="00876468">
          <w:pPr>
            <w:pStyle w:val="Spistreci1"/>
            <w:tabs>
              <w:tab w:val="right" w:leader="dot" w:pos="9062"/>
            </w:tabs>
            <w:rPr>
              <w:rFonts w:asciiTheme="minorHAnsi" w:eastAsiaTheme="minorEastAsia" w:hAnsiTheme="minorHAnsi"/>
              <w:noProof/>
              <w:sz w:val="22"/>
              <w:lang w:eastAsia="pl-PL"/>
            </w:rPr>
          </w:pPr>
          <w:hyperlink w:anchor="_Toc516642775" w:history="1">
            <w:r w:rsidR="006719DB" w:rsidRPr="00443B25">
              <w:rPr>
                <w:rStyle w:val="Hipercze"/>
                <w:noProof/>
              </w:rPr>
              <w:t>7. Plan finansowy Programu</w:t>
            </w:r>
            <w:r w:rsidR="006719DB">
              <w:rPr>
                <w:noProof/>
                <w:webHidden/>
              </w:rPr>
              <w:tab/>
            </w:r>
            <w:r w:rsidR="006719DB">
              <w:rPr>
                <w:noProof/>
                <w:webHidden/>
              </w:rPr>
              <w:fldChar w:fldCharType="begin"/>
            </w:r>
            <w:r w:rsidR="006719DB">
              <w:rPr>
                <w:noProof/>
                <w:webHidden/>
              </w:rPr>
              <w:instrText xml:space="preserve"> PAGEREF _Toc516642775 \h </w:instrText>
            </w:r>
            <w:r w:rsidR="006719DB">
              <w:rPr>
                <w:noProof/>
                <w:webHidden/>
              </w:rPr>
            </w:r>
            <w:r w:rsidR="006719DB">
              <w:rPr>
                <w:noProof/>
                <w:webHidden/>
              </w:rPr>
              <w:fldChar w:fldCharType="separate"/>
            </w:r>
            <w:r w:rsidR="00E74C5A">
              <w:rPr>
                <w:noProof/>
                <w:webHidden/>
              </w:rPr>
              <w:t>65</w:t>
            </w:r>
            <w:r w:rsidR="006719DB">
              <w:rPr>
                <w:noProof/>
                <w:webHidden/>
              </w:rPr>
              <w:fldChar w:fldCharType="end"/>
            </w:r>
          </w:hyperlink>
        </w:p>
        <w:p w14:paraId="49B80EE3" w14:textId="391F0D69" w:rsidR="00CF3222" w:rsidRDefault="00CF3222">
          <w:r>
            <w:fldChar w:fldCharType="end"/>
          </w:r>
        </w:p>
      </w:sdtContent>
    </w:sdt>
    <w:p w14:paraId="4C5781F5" w14:textId="77777777" w:rsidR="00CF3222" w:rsidRDefault="00CF3222">
      <w:pPr>
        <w:spacing w:after="160" w:line="259" w:lineRule="auto"/>
        <w:jc w:val="left"/>
      </w:pPr>
    </w:p>
    <w:p w14:paraId="38F1204A" w14:textId="37F85166" w:rsidR="00AB0A78" w:rsidRDefault="00AB0A78">
      <w:pPr>
        <w:spacing w:after="160" w:line="259" w:lineRule="auto"/>
        <w:jc w:val="left"/>
        <w:rPr>
          <w:rFonts w:asciiTheme="majorHAnsi" w:eastAsiaTheme="majorEastAsia" w:hAnsiTheme="majorHAnsi" w:cstheme="majorBidi"/>
          <w:color w:val="2E74B5" w:themeColor="accent1" w:themeShade="BF"/>
          <w:sz w:val="32"/>
          <w:szCs w:val="32"/>
        </w:rPr>
      </w:pPr>
      <w:r>
        <w:br w:type="page"/>
      </w:r>
    </w:p>
    <w:p w14:paraId="3A8434B0" w14:textId="1DDB5774" w:rsidR="00A62217" w:rsidRDefault="00D80D45">
      <w:pPr>
        <w:spacing w:after="160" w:line="259" w:lineRule="auto"/>
        <w:jc w:val="left"/>
      </w:pPr>
      <w:bookmarkStart w:id="2" w:name="_Toc508718254"/>
      <w:bookmarkStart w:id="3" w:name="_Toc508718401"/>
      <w:bookmarkStart w:id="4" w:name="_Toc508718458"/>
      <w:bookmarkStart w:id="5" w:name="_Toc508718525"/>
      <w:r>
        <w:lastRenderedPageBreak/>
        <w:t>Słownik skrótów i pojęć wykorzystanych w dokumencie</w:t>
      </w:r>
    </w:p>
    <w:tbl>
      <w:tblPr>
        <w:tblStyle w:val="Tabela-Siatka"/>
        <w:tblW w:w="0" w:type="auto"/>
        <w:tblCellMar>
          <w:top w:w="85" w:type="dxa"/>
          <w:left w:w="28" w:type="dxa"/>
          <w:bottom w:w="85" w:type="dxa"/>
          <w:right w:w="28" w:type="dxa"/>
        </w:tblCellMar>
        <w:tblLook w:val="04A0" w:firstRow="1" w:lastRow="0" w:firstColumn="1" w:lastColumn="0" w:noHBand="0" w:noVBand="1"/>
      </w:tblPr>
      <w:tblGrid>
        <w:gridCol w:w="2830"/>
        <w:gridCol w:w="6232"/>
      </w:tblGrid>
      <w:tr w:rsidR="00A62217" w14:paraId="17353F54" w14:textId="77777777" w:rsidTr="00214139">
        <w:trPr>
          <w:trHeight w:val="786"/>
        </w:trPr>
        <w:tc>
          <w:tcPr>
            <w:tcW w:w="2830" w:type="dxa"/>
          </w:tcPr>
          <w:p w14:paraId="240E52D1" w14:textId="77777777" w:rsidR="00A62217" w:rsidRDefault="00A62217" w:rsidP="00291898">
            <w:pPr>
              <w:spacing w:after="0" w:line="259" w:lineRule="auto"/>
              <w:jc w:val="left"/>
            </w:pPr>
            <w:r>
              <w:t>EACEA</w:t>
            </w:r>
          </w:p>
        </w:tc>
        <w:tc>
          <w:tcPr>
            <w:tcW w:w="6232" w:type="dxa"/>
          </w:tcPr>
          <w:p w14:paraId="548BEDF9" w14:textId="77777777" w:rsidR="00A62217" w:rsidRDefault="00A62217" w:rsidP="00291898">
            <w:pPr>
              <w:spacing w:after="0" w:line="259" w:lineRule="auto"/>
              <w:jc w:val="left"/>
            </w:pPr>
            <w:r w:rsidRPr="000304EC">
              <w:rPr>
                <w:lang w:val="en-US"/>
              </w:rPr>
              <w:t>Education, Culture and Audiovisual Executive Agency (</w:t>
            </w:r>
            <w:proofErr w:type="spellStart"/>
            <w:r w:rsidRPr="000304EC">
              <w:rPr>
                <w:lang w:val="en-US"/>
              </w:rPr>
              <w:t>Agencja</w:t>
            </w:r>
            <w:proofErr w:type="spellEnd"/>
            <w:r w:rsidRPr="000304EC">
              <w:rPr>
                <w:lang w:val="en-US"/>
              </w:rPr>
              <w:t xml:space="preserve"> </w:t>
            </w:r>
            <w:proofErr w:type="spellStart"/>
            <w:r w:rsidRPr="000304EC">
              <w:rPr>
                <w:lang w:val="en-US"/>
              </w:rPr>
              <w:t>Wykonawcza</w:t>
            </w:r>
            <w:proofErr w:type="spellEnd"/>
            <w:r w:rsidRPr="000304EC">
              <w:rPr>
                <w:lang w:val="en-US"/>
              </w:rPr>
              <w:t xml:space="preserve"> ds. </w:t>
            </w:r>
            <w:r w:rsidRPr="00B77AC7">
              <w:t>Edukacji, Kultury i Sektora Audiowizualnego</w:t>
            </w:r>
            <w:r>
              <w:t xml:space="preserve"> Komisji Europejskiej)</w:t>
            </w:r>
          </w:p>
        </w:tc>
      </w:tr>
      <w:tr w:rsidR="00A62217" w14:paraId="3FA25157" w14:textId="77777777" w:rsidTr="00214139">
        <w:tc>
          <w:tcPr>
            <w:tcW w:w="2830" w:type="dxa"/>
          </w:tcPr>
          <w:p w14:paraId="70CB3322" w14:textId="77777777" w:rsidR="00A62217" w:rsidRDefault="00A62217" w:rsidP="00291898">
            <w:pPr>
              <w:spacing w:after="0" w:line="259" w:lineRule="auto"/>
              <w:jc w:val="left"/>
            </w:pPr>
            <w:r>
              <w:t>FIO</w:t>
            </w:r>
          </w:p>
        </w:tc>
        <w:tc>
          <w:tcPr>
            <w:tcW w:w="6232" w:type="dxa"/>
          </w:tcPr>
          <w:p w14:paraId="3E759357" w14:textId="77777777" w:rsidR="00A62217" w:rsidRDefault="00A62217" w:rsidP="00291898">
            <w:pPr>
              <w:spacing w:after="0" w:line="259" w:lineRule="auto"/>
              <w:jc w:val="left"/>
            </w:pPr>
            <w:r>
              <w:t>Fundusz Inicjatyw Obywatelskich</w:t>
            </w:r>
          </w:p>
        </w:tc>
      </w:tr>
      <w:tr w:rsidR="00A62217" w14:paraId="41E4927B" w14:textId="77777777" w:rsidTr="00214139">
        <w:tc>
          <w:tcPr>
            <w:tcW w:w="2830" w:type="dxa"/>
          </w:tcPr>
          <w:p w14:paraId="51173D30" w14:textId="77777777" w:rsidR="00A62217" w:rsidRDefault="00A62217" w:rsidP="00291898">
            <w:pPr>
              <w:spacing w:after="0" w:line="259" w:lineRule="auto"/>
              <w:jc w:val="left"/>
            </w:pPr>
            <w:r>
              <w:t>FWRSO</w:t>
            </w:r>
          </w:p>
        </w:tc>
        <w:tc>
          <w:tcPr>
            <w:tcW w:w="6232" w:type="dxa"/>
          </w:tcPr>
          <w:p w14:paraId="03933854" w14:textId="77777777" w:rsidR="00A62217" w:rsidRDefault="00A62217" w:rsidP="00291898">
            <w:pPr>
              <w:spacing w:after="0" w:line="259" w:lineRule="auto"/>
              <w:jc w:val="left"/>
            </w:pPr>
            <w:r>
              <w:t>Fundusz Wspierania Rozwoju Społeczeństwa Obywatelskiego</w:t>
            </w:r>
          </w:p>
        </w:tc>
      </w:tr>
      <w:tr w:rsidR="00A62217" w14:paraId="7FD7FBBC" w14:textId="77777777" w:rsidTr="00214139">
        <w:tc>
          <w:tcPr>
            <w:tcW w:w="2830" w:type="dxa"/>
          </w:tcPr>
          <w:p w14:paraId="78D459B6" w14:textId="77777777" w:rsidR="00A62217" w:rsidRDefault="00A62217" w:rsidP="00291898">
            <w:pPr>
              <w:spacing w:after="0" w:line="259" w:lineRule="auto"/>
              <w:jc w:val="left"/>
            </w:pPr>
            <w:r>
              <w:t>GUS</w:t>
            </w:r>
          </w:p>
        </w:tc>
        <w:tc>
          <w:tcPr>
            <w:tcW w:w="6232" w:type="dxa"/>
          </w:tcPr>
          <w:p w14:paraId="0582A3F1" w14:textId="77777777" w:rsidR="00A62217" w:rsidRDefault="00A62217" w:rsidP="00291898">
            <w:pPr>
              <w:spacing w:after="0" w:line="259" w:lineRule="auto"/>
              <w:jc w:val="left"/>
            </w:pPr>
            <w:r>
              <w:t>Główny Urząd Statystyczny</w:t>
            </w:r>
          </w:p>
        </w:tc>
      </w:tr>
      <w:tr w:rsidR="00A62217" w14:paraId="70923A39" w14:textId="77777777" w:rsidTr="00214139">
        <w:tc>
          <w:tcPr>
            <w:tcW w:w="2830" w:type="dxa"/>
          </w:tcPr>
          <w:p w14:paraId="1BE15B6D" w14:textId="5BB4EC98" w:rsidR="00A62217" w:rsidRDefault="004D2FAF" w:rsidP="00291898">
            <w:pPr>
              <w:spacing w:after="0" w:line="259" w:lineRule="auto"/>
              <w:jc w:val="left"/>
            </w:pPr>
            <w:r>
              <w:t xml:space="preserve">Instytucja Zarządzająca </w:t>
            </w:r>
          </w:p>
        </w:tc>
        <w:tc>
          <w:tcPr>
            <w:tcW w:w="6232" w:type="dxa"/>
          </w:tcPr>
          <w:p w14:paraId="2F7D2F74" w14:textId="77777777" w:rsidR="00A62217" w:rsidRDefault="00A62217" w:rsidP="00291898">
            <w:pPr>
              <w:spacing w:after="0" w:line="259" w:lineRule="auto"/>
              <w:jc w:val="left"/>
            </w:pPr>
            <w:r>
              <w:t>Narodowy Instytut Wolności – Centrum Rozwoju Społeczeństwa Obywatelskiego</w:t>
            </w:r>
          </w:p>
        </w:tc>
      </w:tr>
      <w:tr w:rsidR="00A62217" w14:paraId="220DF636" w14:textId="77777777" w:rsidTr="00214139">
        <w:tc>
          <w:tcPr>
            <w:tcW w:w="2830" w:type="dxa"/>
          </w:tcPr>
          <w:p w14:paraId="34D088AE" w14:textId="46E5708A" w:rsidR="00A62217" w:rsidRDefault="004D2FAF" w:rsidP="00291898">
            <w:pPr>
              <w:spacing w:after="0" w:line="259" w:lineRule="auto"/>
              <w:jc w:val="left"/>
            </w:pPr>
            <w:r>
              <w:t>KE</w:t>
            </w:r>
          </w:p>
        </w:tc>
        <w:tc>
          <w:tcPr>
            <w:tcW w:w="6232" w:type="dxa"/>
          </w:tcPr>
          <w:p w14:paraId="3F184B4F" w14:textId="77777777" w:rsidR="00A62217" w:rsidRDefault="00A62217" w:rsidP="00291898">
            <w:pPr>
              <w:spacing w:after="0" w:line="259" w:lineRule="auto"/>
              <w:jc w:val="left"/>
            </w:pPr>
            <w:r>
              <w:t>Komisja Europejska</w:t>
            </w:r>
          </w:p>
        </w:tc>
      </w:tr>
      <w:tr w:rsidR="00214139" w14:paraId="77A1C80E" w14:textId="77777777" w:rsidTr="00214139">
        <w:tc>
          <w:tcPr>
            <w:tcW w:w="2830" w:type="dxa"/>
          </w:tcPr>
          <w:p w14:paraId="3EA92D84" w14:textId="783299C4" w:rsidR="00214139" w:rsidRDefault="00214139" w:rsidP="00291898">
            <w:pPr>
              <w:spacing w:after="0" w:line="259" w:lineRule="auto"/>
              <w:jc w:val="left"/>
            </w:pPr>
            <w:r>
              <w:t>KSM</w:t>
            </w:r>
          </w:p>
        </w:tc>
        <w:tc>
          <w:tcPr>
            <w:tcW w:w="6232" w:type="dxa"/>
          </w:tcPr>
          <w:p w14:paraId="7B43EB2B" w14:textId="5396F7F5" w:rsidR="00214139" w:rsidRDefault="00214139" w:rsidP="00291898">
            <w:pPr>
              <w:spacing w:after="0" w:line="259" w:lineRule="auto"/>
              <w:jc w:val="left"/>
            </w:pPr>
            <w:r>
              <w:t>Komitet Sterująco-Monitorujący</w:t>
            </w:r>
          </w:p>
        </w:tc>
      </w:tr>
      <w:tr w:rsidR="00A62217" w:rsidRPr="00FB7F2C" w14:paraId="6FDC9B57" w14:textId="77777777" w:rsidTr="00214139">
        <w:tc>
          <w:tcPr>
            <w:tcW w:w="2830" w:type="dxa"/>
          </w:tcPr>
          <w:p w14:paraId="0CAB274C" w14:textId="77777777" w:rsidR="00A62217" w:rsidRDefault="00A62217" w:rsidP="00291898">
            <w:pPr>
              <w:spacing w:after="0" w:line="259" w:lineRule="auto"/>
              <w:jc w:val="left"/>
            </w:pPr>
            <w:r>
              <w:t>NGO</w:t>
            </w:r>
          </w:p>
        </w:tc>
        <w:tc>
          <w:tcPr>
            <w:tcW w:w="6232" w:type="dxa"/>
          </w:tcPr>
          <w:p w14:paraId="1D0F527F" w14:textId="7E6CE55A" w:rsidR="00A62217" w:rsidRPr="000304EC" w:rsidRDefault="00D80D45" w:rsidP="00291898">
            <w:pPr>
              <w:spacing w:after="0" w:line="259" w:lineRule="auto"/>
              <w:jc w:val="left"/>
              <w:rPr>
                <w:lang w:val="en-US"/>
              </w:rPr>
            </w:pPr>
            <w:proofErr w:type="spellStart"/>
            <w:r w:rsidRPr="000304EC">
              <w:rPr>
                <w:lang w:val="en-US"/>
              </w:rPr>
              <w:t>O</w:t>
            </w:r>
            <w:r w:rsidR="00A62217" w:rsidRPr="000304EC">
              <w:rPr>
                <w:lang w:val="en-US"/>
              </w:rPr>
              <w:t>rganizacja</w:t>
            </w:r>
            <w:proofErr w:type="spellEnd"/>
            <w:r w:rsidR="00A62217" w:rsidRPr="000304EC">
              <w:rPr>
                <w:lang w:val="en-US"/>
              </w:rPr>
              <w:t xml:space="preserve"> </w:t>
            </w:r>
            <w:proofErr w:type="spellStart"/>
            <w:r w:rsidR="00A62217" w:rsidRPr="000304EC">
              <w:rPr>
                <w:lang w:val="en-US"/>
              </w:rPr>
              <w:t>pozarządowa</w:t>
            </w:r>
            <w:proofErr w:type="spellEnd"/>
            <w:r w:rsidR="00A62217" w:rsidRPr="000304EC">
              <w:rPr>
                <w:lang w:val="en-US"/>
              </w:rPr>
              <w:t xml:space="preserve"> (</w:t>
            </w:r>
            <w:proofErr w:type="spellStart"/>
            <w:r w:rsidR="00A62217" w:rsidRPr="000304EC">
              <w:rPr>
                <w:lang w:val="en-US"/>
              </w:rPr>
              <w:t>ang.</w:t>
            </w:r>
            <w:proofErr w:type="spellEnd"/>
            <w:r w:rsidR="00A62217" w:rsidRPr="000304EC">
              <w:rPr>
                <w:lang w:val="en-US"/>
              </w:rPr>
              <w:t xml:space="preserve"> non-governmental organization)</w:t>
            </w:r>
          </w:p>
        </w:tc>
      </w:tr>
      <w:tr w:rsidR="00A62217" w14:paraId="06B85A8C" w14:textId="77777777" w:rsidTr="00214139">
        <w:tc>
          <w:tcPr>
            <w:tcW w:w="2830" w:type="dxa"/>
          </w:tcPr>
          <w:p w14:paraId="7D404433" w14:textId="77777777" w:rsidR="00A62217" w:rsidRDefault="00A62217" w:rsidP="00291898">
            <w:pPr>
              <w:spacing w:after="0" w:line="259" w:lineRule="auto"/>
              <w:jc w:val="left"/>
            </w:pPr>
            <w:r>
              <w:t>NIK</w:t>
            </w:r>
          </w:p>
        </w:tc>
        <w:tc>
          <w:tcPr>
            <w:tcW w:w="6232" w:type="dxa"/>
          </w:tcPr>
          <w:p w14:paraId="25855270" w14:textId="77777777" w:rsidR="00A62217" w:rsidRDefault="00A62217" w:rsidP="00291898">
            <w:pPr>
              <w:spacing w:after="0" w:line="259" w:lineRule="auto"/>
              <w:jc w:val="left"/>
            </w:pPr>
            <w:r>
              <w:t>Najwyższa Izba Kontroli</w:t>
            </w:r>
          </w:p>
        </w:tc>
      </w:tr>
      <w:tr w:rsidR="00A62217" w14:paraId="3C4AA193" w14:textId="77777777" w:rsidTr="00214139">
        <w:tc>
          <w:tcPr>
            <w:tcW w:w="2830" w:type="dxa"/>
          </w:tcPr>
          <w:p w14:paraId="697667C0" w14:textId="77777777" w:rsidR="00A62217" w:rsidRDefault="00A62217" w:rsidP="00291898">
            <w:pPr>
              <w:spacing w:after="0" w:line="259" w:lineRule="auto"/>
              <w:jc w:val="left"/>
            </w:pPr>
            <w:r>
              <w:t>NIW–CRSO</w:t>
            </w:r>
          </w:p>
        </w:tc>
        <w:tc>
          <w:tcPr>
            <w:tcW w:w="6232" w:type="dxa"/>
          </w:tcPr>
          <w:p w14:paraId="7E77281B" w14:textId="77777777" w:rsidR="00A62217" w:rsidRDefault="00A62217" w:rsidP="00291898">
            <w:pPr>
              <w:spacing w:after="0" w:line="259" w:lineRule="auto"/>
              <w:jc w:val="left"/>
            </w:pPr>
            <w:r>
              <w:t>Narodowy Instytut Wolności – Centrum Rozwoju Społeczeństwa Obywatelskiego</w:t>
            </w:r>
          </w:p>
        </w:tc>
      </w:tr>
      <w:tr w:rsidR="00A62217" w14:paraId="3EB22C5C" w14:textId="77777777" w:rsidTr="00214139">
        <w:tc>
          <w:tcPr>
            <w:tcW w:w="2830" w:type="dxa"/>
          </w:tcPr>
          <w:p w14:paraId="1625515B" w14:textId="77777777" w:rsidR="00A62217" w:rsidRDefault="00A62217" w:rsidP="00291898">
            <w:pPr>
              <w:spacing w:after="0" w:line="259" w:lineRule="auto"/>
              <w:jc w:val="left"/>
            </w:pPr>
            <w:r>
              <w:t>NPWRSO</w:t>
            </w:r>
          </w:p>
        </w:tc>
        <w:tc>
          <w:tcPr>
            <w:tcW w:w="6232" w:type="dxa"/>
          </w:tcPr>
          <w:p w14:paraId="30AED871" w14:textId="77777777" w:rsidR="00A62217" w:rsidRDefault="00A62217" w:rsidP="00291898">
            <w:pPr>
              <w:spacing w:after="0" w:line="259" w:lineRule="auto"/>
              <w:jc w:val="left"/>
            </w:pPr>
            <w:r>
              <w:t>Narodowy Program</w:t>
            </w:r>
            <w:r w:rsidRPr="000C1CE1">
              <w:t xml:space="preserve"> Wspierania Rozwoju Społeczeństwa Obywatelskiego</w:t>
            </w:r>
          </w:p>
        </w:tc>
      </w:tr>
      <w:tr w:rsidR="00A62217" w14:paraId="7698C87E" w14:textId="77777777" w:rsidTr="00214139">
        <w:tc>
          <w:tcPr>
            <w:tcW w:w="2830" w:type="dxa"/>
          </w:tcPr>
          <w:p w14:paraId="545C9FEF" w14:textId="77777777" w:rsidR="00A62217" w:rsidRDefault="00A62217" w:rsidP="00291898">
            <w:pPr>
              <w:spacing w:after="0" w:line="259" w:lineRule="auto"/>
              <w:jc w:val="left"/>
            </w:pPr>
            <w:r>
              <w:t>OPP</w:t>
            </w:r>
          </w:p>
        </w:tc>
        <w:tc>
          <w:tcPr>
            <w:tcW w:w="6232" w:type="dxa"/>
          </w:tcPr>
          <w:p w14:paraId="00707DDA" w14:textId="77777777" w:rsidR="00A62217" w:rsidRDefault="00A62217" w:rsidP="00291898">
            <w:pPr>
              <w:spacing w:after="0" w:line="259" w:lineRule="auto"/>
              <w:jc w:val="left"/>
            </w:pPr>
            <w:r>
              <w:t>organizacja pożytku publicznego</w:t>
            </w:r>
          </w:p>
        </w:tc>
      </w:tr>
      <w:tr w:rsidR="00A62217" w14:paraId="4BF08025" w14:textId="77777777" w:rsidTr="00214139">
        <w:tc>
          <w:tcPr>
            <w:tcW w:w="2830" w:type="dxa"/>
          </w:tcPr>
          <w:p w14:paraId="5E5081BC" w14:textId="77777777" w:rsidR="00A62217" w:rsidRDefault="00A62217" w:rsidP="00291898">
            <w:pPr>
              <w:spacing w:after="0" w:line="259" w:lineRule="auto"/>
              <w:jc w:val="left"/>
            </w:pPr>
            <w:r>
              <w:t>Program, PROO</w:t>
            </w:r>
          </w:p>
        </w:tc>
        <w:tc>
          <w:tcPr>
            <w:tcW w:w="6232" w:type="dxa"/>
          </w:tcPr>
          <w:p w14:paraId="518DE755" w14:textId="77777777" w:rsidR="00A62217" w:rsidRDefault="00A62217" w:rsidP="00291898">
            <w:pPr>
              <w:spacing w:after="0" w:line="259" w:lineRule="auto"/>
              <w:jc w:val="left"/>
            </w:pPr>
            <w:r w:rsidRPr="00B77AC7">
              <w:t>Program Rozwoju Organizacji Obywatelskich na lata 2018–2030</w:t>
            </w:r>
            <w:r>
              <w:t xml:space="preserve"> (niniejszy dokument)</w:t>
            </w:r>
          </w:p>
        </w:tc>
      </w:tr>
      <w:tr w:rsidR="00A62217" w14:paraId="7C9CEFEF" w14:textId="77777777" w:rsidTr="00214139">
        <w:tc>
          <w:tcPr>
            <w:tcW w:w="2830" w:type="dxa"/>
          </w:tcPr>
          <w:p w14:paraId="6470E43B" w14:textId="77777777" w:rsidR="00A62217" w:rsidRDefault="00A62217" w:rsidP="00291898">
            <w:pPr>
              <w:spacing w:after="0" w:line="259" w:lineRule="auto"/>
              <w:jc w:val="left"/>
            </w:pPr>
            <w:r>
              <w:t>Przewodniczący Komitetu</w:t>
            </w:r>
          </w:p>
        </w:tc>
        <w:tc>
          <w:tcPr>
            <w:tcW w:w="6232" w:type="dxa"/>
          </w:tcPr>
          <w:p w14:paraId="59F08EA3" w14:textId="77777777" w:rsidR="00A62217" w:rsidRDefault="00A62217" w:rsidP="00291898">
            <w:pPr>
              <w:spacing w:after="0" w:line="259" w:lineRule="auto"/>
              <w:jc w:val="left"/>
            </w:pPr>
            <w:r w:rsidRPr="00BB2B62">
              <w:t>Przewodniczący Komitetu do spraw Pożytku Publicznego</w:t>
            </w:r>
          </w:p>
        </w:tc>
      </w:tr>
      <w:tr w:rsidR="00291898" w14:paraId="57053DFE" w14:textId="77777777" w:rsidTr="00214139">
        <w:tc>
          <w:tcPr>
            <w:tcW w:w="2830" w:type="dxa"/>
          </w:tcPr>
          <w:p w14:paraId="51C7EE8A" w14:textId="3C0DFB8E" w:rsidR="00291898" w:rsidRDefault="00291898" w:rsidP="00291898">
            <w:pPr>
              <w:spacing w:after="0" w:line="259" w:lineRule="auto"/>
              <w:jc w:val="left"/>
            </w:pPr>
            <w:r>
              <w:t>Rada, Rada NIW-CRSO</w:t>
            </w:r>
          </w:p>
        </w:tc>
        <w:tc>
          <w:tcPr>
            <w:tcW w:w="6232" w:type="dxa"/>
          </w:tcPr>
          <w:p w14:paraId="7E17181E" w14:textId="1D324406" w:rsidR="00291898" w:rsidRPr="00BB2B62" w:rsidRDefault="00291898" w:rsidP="00291898">
            <w:pPr>
              <w:spacing w:after="0" w:line="259" w:lineRule="auto"/>
              <w:jc w:val="left"/>
            </w:pPr>
            <w:r>
              <w:t>Rada Narodowego Instytutu Wolności – Centrum Rozwoju Społeczeństwa Obywatelskiego</w:t>
            </w:r>
          </w:p>
        </w:tc>
      </w:tr>
      <w:tr w:rsidR="00A62217" w14:paraId="6B9F2FB6" w14:textId="77777777" w:rsidTr="00214139">
        <w:tc>
          <w:tcPr>
            <w:tcW w:w="2830" w:type="dxa"/>
          </w:tcPr>
          <w:p w14:paraId="2BAD932B" w14:textId="77777777" w:rsidR="00A62217" w:rsidRDefault="00A62217" w:rsidP="00291898">
            <w:pPr>
              <w:spacing w:after="0" w:line="259" w:lineRule="auto"/>
              <w:jc w:val="left"/>
            </w:pPr>
            <w:r>
              <w:t>SOR</w:t>
            </w:r>
          </w:p>
        </w:tc>
        <w:tc>
          <w:tcPr>
            <w:tcW w:w="6232" w:type="dxa"/>
          </w:tcPr>
          <w:p w14:paraId="3CF3AF77" w14:textId="5B1D6531" w:rsidR="00A62217" w:rsidRDefault="00A62217" w:rsidP="00291898">
            <w:pPr>
              <w:spacing w:after="0" w:line="259" w:lineRule="auto"/>
              <w:jc w:val="left"/>
            </w:pPr>
            <w:r w:rsidRPr="00581219">
              <w:t xml:space="preserve">Strategia na rzecz Odpowiedzialnego Rozwoju do roku 2020 </w:t>
            </w:r>
            <w:r w:rsidR="00496BBE">
              <w:br/>
            </w:r>
            <w:r w:rsidRPr="00581219">
              <w:t>(z perspektywą do 2030 r.)</w:t>
            </w:r>
          </w:p>
        </w:tc>
      </w:tr>
      <w:tr w:rsidR="00A62217" w14:paraId="00B7B426" w14:textId="77777777" w:rsidTr="00214139">
        <w:tc>
          <w:tcPr>
            <w:tcW w:w="2830" w:type="dxa"/>
          </w:tcPr>
          <w:p w14:paraId="54F63DE5" w14:textId="77777777" w:rsidR="00A62217" w:rsidRDefault="00A62217" w:rsidP="00291898">
            <w:pPr>
              <w:spacing w:after="0" w:line="259" w:lineRule="auto"/>
              <w:jc w:val="left"/>
            </w:pPr>
            <w:r>
              <w:t>SRKS</w:t>
            </w:r>
          </w:p>
        </w:tc>
        <w:tc>
          <w:tcPr>
            <w:tcW w:w="6232" w:type="dxa"/>
          </w:tcPr>
          <w:p w14:paraId="05B15FDF" w14:textId="77777777" w:rsidR="00A62217" w:rsidRDefault="00A62217" w:rsidP="00291898">
            <w:pPr>
              <w:spacing w:after="0" w:line="259" w:lineRule="auto"/>
              <w:jc w:val="left"/>
            </w:pPr>
            <w:r>
              <w:t>Strategia Rozwoju Kapitału Społecznego 2020</w:t>
            </w:r>
          </w:p>
        </w:tc>
      </w:tr>
      <w:tr w:rsidR="00A62217" w14:paraId="7B2E1907" w14:textId="77777777" w:rsidTr="00214139">
        <w:tc>
          <w:tcPr>
            <w:tcW w:w="2830" w:type="dxa"/>
          </w:tcPr>
          <w:p w14:paraId="2286C9E2" w14:textId="15128B8D" w:rsidR="00A62217" w:rsidRDefault="00A62217" w:rsidP="00291898">
            <w:pPr>
              <w:spacing w:after="0" w:line="259" w:lineRule="auto"/>
              <w:jc w:val="left"/>
            </w:pPr>
            <w:proofErr w:type="spellStart"/>
            <w:r>
              <w:t>UoDPPiW</w:t>
            </w:r>
            <w:proofErr w:type="spellEnd"/>
          </w:p>
        </w:tc>
        <w:tc>
          <w:tcPr>
            <w:tcW w:w="6232" w:type="dxa"/>
          </w:tcPr>
          <w:p w14:paraId="27FB9FCC" w14:textId="77777777" w:rsidR="00A62217" w:rsidRDefault="00A62217" w:rsidP="00291898">
            <w:pPr>
              <w:spacing w:after="0" w:line="259" w:lineRule="auto"/>
              <w:jc w:val="left"/>
            </w:pPr>
            <w:r>
              <w:t>Ustawa z dnia 24 kwietnia 2003 r. o działalności pożytku publicznego i o wolontariacie (Dz.U. 2003 nr 96 poz. 873)</w:t>
            </w:r>
          </w:p>
        </w:tc>
      </w:tr>
      <w:tr w:rsidR="00A62217" w14:paraId="645ACAF8" w14:textId="77777777" w:rsidTr="00214139">
        <w:tc>
          <w:tcPr>
            <w:tcW w:w="2830" w:type="dxa"/>
          </w:tcPr>
          <w:p w14:paraId="328327C7" w14:textId="495479D7" w:rsidR="00A62217" w:rsidRDefault="00A62217" w:rsidP="00291898">
            <w:pPr>
              <w:spacing w:after="0" w:line="259" w:lineRule="auto"/>
              <w:jc w:val="left"/>
            </w:pPr>
            <w:proofErr w:type="spellStart"/>
            <w:r>
              <w:t>UoNIW</w:t>
            </w:r>
            <w:proofErr w:type="spellEnd"/>
          </w:p>
        </w:tc>
        <w:tc>
          <w:tcPr>
            <w:tcW w:w="6232" w:type="dxa"/>
          </w:tcPr>
          <w:p w14:paraId="6C99D3AF" w14:textId="77777777" w:rsidR="00A62217" w:rsidRDefault="00A62217" w:rsidP="00291898">
            <w:pPr>
              <w:spacing w:after="0" w:line="259" w:lineRule="auto"/>
              <w:jc w:val="left"/>
            </w:pPr>
            <w:r>
              <w:t>Ustawa z dnia 15 września 2017 r. o Narodowym Instytucie Wolności - Centrum Rozwoju Społeczeństwa Obywatelskiego (Dz.U. 2017 poz. 1909)</w:t>
            </w:r>
          </w:p>
        </w:tc>
      </w:tr>
    </w:tbl>
    <w:p w14:paraId="61742104" w14:textId="22A08752" w:rsidR="00B2612B" w:rsidRDefault="00B2612B" w:rsidP="00B2612B">
      <w:pPr>
        <w:pStyle w:val="Nagwek1"/>
      </w:pPr>
      <w:bookmarkStart w:id="6" w:name="_Toc516642769"/>
      <w:r>
        <w:lastRenderedPageBreak/>
        <w:t xml:space="preserve">1. Ramy prawne </w:t>
      </w:r>
      <w:bookmarkEnd w:id="2"/>
      <w:bookmarkEnd w:id="3"/>
      <w:bookmarkEnd w:id="4"/>
      <w:bookmarkEnd w:id="5"/>
      <w:r w:rsidR="00473328">
        <w:t>i spójność strategiczna Programu</w:t>
      </w:r>
      <w:bookmarkEnd w:id="6"/>
    </w:p>
    <w:p w14:paraId="38EF8CC8" w14:textId="13EE39AD" w:rsidR="00473328" w:rsidRPr="00473328" w:rsidRDefault="00473328" w:rsidP="00473328">
      <w:pPr>
        <w:pStyle w:val="Nagwek2"/>
      </w:pPr>
      <w:r>
        <w:t>1.1. Otoczenie prawne Programu</w:t>
      </w:r>
    </w:p>
    <w:p w14:paraId="5660A755" w14:textId="5BB02CF9" w:rsidR="00C1286B" w:rsidRDefault="00567CAF" w:rsidP="001C2294">
      <w:r w:rsidRPr="00A64508">
        <w:t>Zgodnie z ustawą z dnia 15 września 2017 roku o Narodowym Instytucie Wolności – Centrum Rozwoju Społeczeństwa Obywatelskiego</w:t>
      </w:r>
      <w:r w:rsidR="00D31F0F">
        <w:t>, NIW-CRSO –</w:t>
      </w:r>
      <w:r w:rsidRPr="00A64508">
        <w:t xml:space="preserve"> nowo utworzona </w:t>
      </w:r>
      <w:r w:rsidR="006F3409">
        <w:t xml:space="preserve">państwowa osoba prawna </w:t>
      </w:r>
      <w:r w:rsidR="00D31F0F">
        <w:t xml:space="preserve">– </w:t>
      </w:r>
      <w:r w:rsidR="006F3409">
        <w:t>jest agencją wykonawczą</w:t>
      </w:r>
      <w:r w:rsidRPr="00A64508">
        <w:t xml:space="preserve"> w rozumieniu przepisów o finansach publicznych </w:t>
      </w:r>
      <w:r w:rsidR="006F3409">
        <w:t xml:space="preserve">i </w:t>
      </w:r>
      <w:r w:rsidRPr="00A64508">
        <w:t>jest instytucją właściwą w sprawach wspierania rozwoj</w:t>
      </w:r>
      <w:r w:rsidR="00C1286B">
        <w:t>u społeczeństwa obywatelskiego</w:t>
      </w:r>
      <w:r w:rsidRPr="00A64508">
        <w:t xml:space="preserve">. </w:t>
      </w:r>
      <w:r w:rsidR="005E7ECA">
        <w:t xml:space="preserve">Podstawę prawną dla Programu stanowi </w:t>
      </w:r>
      <w:r w:rsidR="00C1286B">
        <w:t xml:space="preserve">art. 23 </w:t>
      </w:r>
      <w:r w:rsidR="008F027C">
        <w:t xml:space="preserve">ww. ustawy, zgodnie z którym </w:t>
      </w:r>
      <w:r w:rsidR="0085095A">
        <w:t xml:space="preserve">NIW–CRSO </w:t>
      </w:r>
      <w:r w:rsidR="00C1286B">
        <w:t xml:space="preserve">zarządza programami wspierania rozwoju społeczeństwa obywatelskiego, które w drodze uchwały przyjmuje </w:t>
      </w:r>
      <w:r w:rsidR="005E7ECA">
        <w:t xml:space="preserve">Rada Ministrów. </w:t>
      </w:r>
      <w:r w:rsidR="00653187">
        <w:t>Na podstawie art. 24</w:t>
      </w:r>
      <w:r w:rsidR="001C2294">
        <w:t xml:space="preserve"> ust. 1 ustawy do zadań </w:t>
      </w:r>
      <w:r w:rsidR="0085095A">
        <w:t xml:space="preserve">NIW–CRSO </w:t>
      </w:r>
      <w:r w:rsidR="001C2294">
        <w:t xml:space="preserve">należy realizacja działań na rzecz wspierania rozwoju wspólnoty obywatelskiej i społeczeństwa obywatelskiego w Rzeczypospolitej Polskiej, w szczególności przez zwiększanie instytucjonalnej sprawności organizacji pozarządowych oraz innych zorganizowanych form społeczeństwa obywatelskiego, ich niezależności oraz profesjonalizmu, przy jednoczesnym zachowaniu ich obywatelskiego charakteru. </w:t>
      </w:r>
      <w:r w:rsidR="005E7ECA">
        <w:t>Równocześnie, zgodnie z art. 31 ustawy, w</w:t>
      </w:r>
      <w:r w:rsidR="005E7ECA" w:rsidRPr="005E7ECA">
        <w:t xml:space="preserve"> ramach programów wspierania rozwo</w:t>
      </w:r>
      <w:r w:rsidR="005E7ECA">
        <w:t>ju społeczeństwa obywatelskiego</w:t>
      </w:r>
      <w:r w:rsidR="005E7ECA" w:rsidRPr="005E7ECA">
        <w:t xml:space="preserve"> </w:t>
      </w:r>
      <w:r w:rsidR="0085095A">
        <w:t>NIW–CRSO</w:t>
      </w:r>
      <w:r w:rsidR="005E7ECA">
        <w:t xml:space="preserve"> </w:t>
      </w:r>
      <w:r w:rsidR="005E7ECA" w:rsidRPr="005E7ECA">
        <w:t>może dofinansować rozwój instytucjonalny organizacji pozarządowych oraz podmiotów, o których mowa w art. 3 ust. 3</w:t>
      </w:r>
      <w:r w:rsidR="00653187">
        <w:t xml:space="preserve"> ustawy z dnia 24 kwietnia 2003 </w:t>
      </w:r>
      <w:r w:rsidR="005E7ECA" w:rsidRPr="005E7ECA">
        <w:t>r. o działalności pożytku publicznego i o wolontariacie, w tym kosztów organizacyjnych i admi</w:t>
      </w:r>
      <w:r w:rsidR="005E7ECA">
        <w:t>nistracyjnych ich działalności.</w:t>
      </w:r>
      <w:r w:rsidR="008F027C">
        <w:t xml:space="preserve"> Zapisy te wyznaczają zakres przedmiotowy i podmiotowy wsparcia, które będzie udzielane w ramach Programu.</w:t>
      </w:r>
      <w:r w:rsidR="000042BE">
        <w:t xml:space="preserve"> Zgodnie bowiem z treścią art. 4 ust. 1 pkt 33</w:t>
      </w:r>
      <w:r w:rsidR="000042BE" w:rsidRPr="000042BE">
        <w:t xml:space="preserve"> </w:t>
      </w:r>
      <w:proofErr w:type="spellStart"/>
      <w:r w:rsidR="000042BE">
        <w:t>UoDPPiW</w:t>
      </w:r>
      <w:proofErr w:type="spellEnd"/>
      <w:r w:rsidR="000042BE">
        <w:t xml:space="preserve"> działalność </w:t>
      </w:r>
      <w:r w:rsidR="000042BE" w:rsidRPr="005E7ECA">
        <w:t>na rzecz organizacji pozarządowych oraz podmiotów wymienionych w art. 3 ust. 3</w:t>
      </w:r>
      <w:r w:rsidR="000042BE">
        <w:t xml:space="preserve"> </w:t>
      </w:r>
      <w:proofErr w:type="spellStart"/>
      <w:r w:rsidR="000042BE">
        <w:t>UDPPiW</w:t>
      </w:r>
      <w:proofErr w:type="spellEnd"/>
      <w:r w:rsidR="000042BE">
        <w:t xml:space="preserve"> w zakresie określonym w pkt 1-32a </w:t>
      </w:r>
      <w:proofErr w:type="spellStart"/>
      <w:r w:rsidR="000042BE">
        <w:t>UDPPiW</w:t>
      </w:r>
      <w:proofErr w:type="spellEnd"/>
      <w:r w:rsidR="000042BE">
        <w:t xml:space="preserve"> należy do sfery zadań publicznych. </w:t>
      </w:r>
    </w:p>
    <w:p w14:paraId="355464E3" w14:textId="37F02DB4" w:rsidR="000042BE" w:rsidRDefault="001C2294" w:rsidP="00AC3BB6">
      <w:pPr>
        <w:spacing w:after="0"/>
      </w:pPr>
      <w:r>
        <w:t>Biorąc pod uwagę finansowanie</w:t>
      </w:r>
      <w:r w:rsidR="00AC3BB6">
        <w:t xml:space="preserve"> </w:t>
      </w:r>
      <w:r w:rsidR="002A2B3D">
        <w:t xml:space="preserve">oraz cele </w:t>
      </w:r>
      <w:r w:rsidR="00AC3BB6">
        <w:t>Programu kluczowe znaczenie ma ustawa</w:t>
      </w:r>
      <w:r w:rsidR="00AC3BB6" w:rsidRPr="00BB2B62">
        <w:t xml:space="preserve"> o grach hazardowych</w:t>
      </w:r>
      <w:r w:rsidR="00AC3BB6">
        <w:t xml:space="preserve">. </w:t>
      </w:r>
      <w:r w:rsidR="002104C2">
        <w:t>Na mocy art. 88a t</w:t>
      </w:r>
      <w:r w:rsidR="00AC3BB6">
        <w:t>worzy ona Fundusz</w:t>
      </w:r>
      <w:r w:rsidR="00AC3BB6" w:rsidRPr="00BB2B62">
        <w:t xml:space="preserve"> Wspierania Rozwo</w:t>
      </w:r>
      <w:r w:rsidR="002104C2">
        <w:t>ju Społeczeństwa Obywatelskiego</w:t>
      </w:r>
      <w:r w:rsidR="00AC3BB6">
        <w:t>,</w:t>
      </w:r>
      <w:r w:rsidR="00AC3BB6" w:rsidRPr="00BB2B62">
        <w:t xml:space="preserve"> którego dysponentem jest Przewodniczący Komitetu do spraw Pożytku Publicznego</w:t>
      </w:r>
      <w:r w:rsidR="00AC3BB6">
        <w:t xml:space="preserve"> i którego przychodem jest 4% wpływów z dopłat z</w:t>
      </w:r>
      <w:r w:rsidR="00AC3BB6" w:rsidRPr="00F55B73">
        <w:t xml:space="preserve"> g</w:t>
      </w:r>
      <w:r w:rsidR="00AC3BB6">
        <w:t xml:space="preserve">ier </w:t>
      </w:r>
      <w:r w:rsidR="00AC3BB6" w:rsidRPr="00F55B73">
        <w:t>objętych monopolem państwa</w:t>
      </w:r>
      <w:r w:rsidR="00AC3BB6">
        <w:t xml:space="preserve">. Środki te będą w znaczącej części stanowiły źródło finansowania realizacji Programu. Zgodnie z art. 88a ust. 5 wydatki </w:t>
      </w:r>
      <w:r w:rsidR="00B510D8">
        <w:t>FWRSO</w:t>
      </w:r>
      <w:r w:rsidR="00AC3BB6">
        <w:t xml:space="preserve"> są przeznaczone na</w:t>
      </w:r>
      <w:r w:rsidR="004E7CCB">
        <w:t>:</w:t>
      </w:r>
      <w:r w:rsidR="00AC3BB6">
        <w:t xml:space="preserve"> </w:t>
      </w:r>
    </w:p>
    <w:p w14:paraId="38B9910D" w14:textId="0BC6B6A7" w:rsidR="000042BE" w:rsidRPr="000304EC" w:rsidRDefault="004E7CCB" w:rsidP="000304EC">
      <w:pPr>
        <w:pStyle w:val="Akapitzlist"/>
        <w:numPr>
          <w:ilvl w:val="0"/>
          <w:numId w:val="31"/>
        </w:numPr>
        <w:spacing w:after="0"/>
      </w:pPr>
      <w:r w:rsidRPr="000304EC">
        <w:rPr>
          <w:rFonts w:asciiTheme="majorHAnsi" w:hAnsiTheme="majorHAnsi"/>
          <w:szCs w:val="23"/>
        </w:rPr>
        <w:t>działania nastawione na przygotowanie i wdrożenie systemowych rozwiązań służących wzmocnieniu i podniesieniu jakości działania całego sektora pozarządowego lub jego znaczących części (branż, środowisk)</w:t>
      </w:r>
      <w:r w:rsidR="000304EC">
        <w:rPr>
          <w:rFonts w:asciiTheme="majorHAnsi" w:hAnsiTheme="majorHAnsi"/>
          <w:szCs w:val="23"/>
        </w:rPr>
        <w:t>,</w:t>
      </w:r>
    </w:p>
    <w:p w14:paraId="1E047C10" w14:textId="6159D96A" w:rsidR="004E7CCB" w:rsidRPr="000304EC" w:rsidRDefault="004E7CCB" w:rsidP="000304EC">
      <w:pPr>
        <w:pStyle w:val="Akapitzlist"/>
        <w:numPr>
          <w:ilvl w:val="0"/>
          <w:numId w:val="31"/>
        </w:numPr>
        <w:spacing w:after="0"/>
      </w:pPr>
      <w:r w:rsidRPr="00E170FF">
        <w:rPr>
          <w:rFonts w:asciiTheme="majorHAnsi" w:hAnsiTheme="majorHAnsi"/>
          <w:szCs w:val="23"/>
        </w:rPr>
        <w:lastRenderedPageBreak/>
        <w:t>wspieranie rozwoju porozumień organizacji, platform współpracy, reprezentacji środowisk orga</w:t>
      </w:r>
      <w:r>
        <w:rPr>
          <w:rFonts w:asciiTheme="majorHAnsi" w:hAnsiTheme="majorHAnsi"/>
          <w:szCs w:val="23"/>
        </w:rPr>
        <w:t>nizacji sektora pozarządowego</w:t>
      </w:r>
      <w:r w:rsidR="000304EC">
        <w:rPr>
          <w:rFonts w:asciiTheme="majorHAnsi" w:hAnsiTheme="majorHAnsi"/>
          <w:szCs w:val="23"/>
        </w:rPr>
        <w:t>,</w:t>
      </w:r>
    </w:p>
    <w:p w14:paraId="192DBABB" w14:textId="4EF6B2EA" w:rsidR="004E7CCB" w:rsidRDefault="004E7CCB" w:rsidP="000304EC">
      <w:pPr>
        <w:pStyle w:val="Akapitzlist"/>
        <w:numPr>
          <w:ilvl w:val="0"/>
          <w:numId w:val="31"/>
        </w:numPr>
        <w:spacing w:after="0"/>
      </w:pPr>
      <w:r w:rsidRPr="00E170FF">
        <w:rPr>
          <w:rFonts w:asciiTheme="majorHAnsi" w:hAnsiTheme="majorHAnsi"/>
          <w:szCs w:val="23"/>
        </w:rPr>
        <w:t>wspieranie działań statutowych organizacji sektora pozarządowego</w:t>
      </w:r>
      <w:r w:rsidR="000304EC">
        <w:rPr>
          <w:rFonts w:asciiTheme="majorHAnsi" w:hAnsiTheme="majorHAnsi"/>
          <w:szCs w:val="23"/>
        </w:rPr>
        <w:t>,</w:t>
      </w:r>
    </w:p>
    <w:p w14:paraId="5150AC81" w14:textId="693A9B10" w:rsidR="004E7CCB" w:rsidRDefault="00AC3BB6" w:rsidP="000304EC">
      <w:pPr>
        <w:pStyle w:val="Akapitzlist"/>
        <w:numPr>
          <w:ilvl w:val="0"/>
          <w:numId w:val="31"/>
        </w:numPr>
        <w:spacing w:after="0"/>
      </w:pPr>
      <w:r>
        <w:t xml:space="preserve">rozwój instytucjonalny organizacji, w tym: budowanie stabilnych podstaw ich dalszego funkcjonowania, tworzenie perspektywicznych planów działania i finansowania, podnoszenie standardów pracy i zarządzania organizacją. </w:t>
      </w:r>
    </w:p>
    <w:p w14:paraId="01D6EBBE" w14:textId="1EF6A3F6" w:rsidR="00AC3BB6" w:rsidRPr="00AC3BB6" w:rsidRDefault="00AC3BB6" w:rsidP="00AC3BB6">
      <w:pPr>
        <w:spacing w:after="0"/>
        <w:rPr>
          <w:rFonts w:ascii="Calibri" w:hAnsi="Calibri"/>
          <w:iCs/>
          <w:sz w:val="22"/>
        </w:rPr>
      </w:pPr>
      <w:r>
        <w:t xml:space="preserve">Wsparcie takie jest </w:t>
      </w:r>
      <w:r w:rsidR="00001947">
        <w:t>bezpośrednio</w:t>
      </w:r>
      <w:r>
        <w:t xml:space="preserve"> realizowane w ramach Programu. Dodatkowo </w:t>
      </w:r>
      <w:r>
        <w:rPr>
          <w:iCs/>
        </w:rPr>
        <w:t>n</w:t>
      </w:r>
      <w:r w:rsidR="001C2294">
        <w:rPr>
          <w:iCs/>
        </w:rPr>
        <w:t>iniejszy P</w:t>
      </w:r>
      <w:r w:rsidRPr="00AC3BB6">
        <w:rPr>
          <w:iCs/>
        </w:rPr>
        <w:t xml:space="preserve">rogram stanowi instrument interwencji publicznej, który będzie wdrażany w oparciu o art. 88a </w:t>
      </w:r>
      <w:r w:rsidR="00001947">
        <w:rPr>
          <w:iCs/>
        </w:rPr>
        <w:t xml:space="preserve">ust. 7 </w:t>
      </w:r>
      <w:r w:rsidR="001C2294">
        <w:rPr>
          <w:iCs/>
        </w:rPr>
        <w:t xml:space="preserve">ww. </w:t>
      </w:r>
      <w:r w:rsidRPr="00AC3BB6">
        <w:rPr>
          <w:iCs/>
        </w:rPr>
        <w:t>ustawy</w:t>
      </w:r>
      <w:r w:rsidR="001C2294">
        <w:t xml:space="preserve">, </w:t>
      </w:r>
      <w:r w:rsidR="001C2294">
        <w:rPr>
          <w:iCs/>
        </w:rPr>
        <w:t xml:space="preserve">zgodnie z którym </w:t>
      </w:r>
      <w:r w:rsidRPr="00AC3BB6">
        <w:rPr>
          <w:iCs/>
        </w:rPr>
        <w:t>Przewodniczący Komitetu określi, w drodze rozporządzenia, szczegółowe warunki uzyskiwania dofinansowania realizacji zadań, o których mowa w ust. 5, tryb składania wniosków oraz przekazywania środków, biorąc pod uwagę priorytety społeczne i konieczność zapewnienia</w:t>
      </w:r>
      <w:r w:rsidR="001C2294">
        <w:rPr>
          <w:iCs/>
        </w:rPr>
        <w:t xml:space="preserve"> ciągłości realizowanych zadań.</w:t>
      </w:r>
    </w:p>
    <w:p w14:paraId="49DB50CD" w14:textId="39D204AE" w:rsidR="00567CAF" w:rsidRDefault="00473328" w:rsidP="00473328">
      <w:pPr>
        <w:pStyle w:val="Nagwek2"/>
      </w:pPr>
      <w:r>
        <w:t>1.2. Zgodność z dokumentami strategicznymi</w:t>
      </w:r>
    </w:p>
    <w:p w14:paraId="527ED5D4" w14:textId="57BCBABA" w:rsidR="00473328" w:rsidRDefault="00711EB6" w:rsidP="00B2612B">
      <w:r>
        <w:t>Strategia</w:t>
      </w:r>
      <w:r w:rsidR="00473328" w:rsidRPr="00567CAF">
        <w:t xml:space="preserve"> na rzecz Odpowiedzialnego Rozwoju do roku 2020 z </w:t>
      </w:r>
      <w:r w:rsidR="00473328">
        <w:t xml:space="preserve">perspektywą do roku 2030 (SOR) – </w:t>
      </w:r>
      <w:r>
        <w:t>zaktualizowana średniookresowa strategia</w:t>
      </w:r>
      <w:r w:rsidR="00473328" w:rsidRPr="00567CAF">
        <w:t xml:space="preserve"> rozwoju kraju</w:t>
      </w:r>
      <w:r>
        <w:t xml:space="preserve"> – </w:t>
      </w:r>
      <w:r w:rsidR="00473328">
        <w:t>określa nowy model rozwoju</w:t>
      </w:r>
      <w:r>
        <w:t>:</w:t>
      </w:r>
      <w:r w:rsidR="00473328">
        <w:t xml:space="preserve"> </w:t>
      </w:r>
      <w:r w:rsidR="00473328" w:rsidRPr="00A64508">
        <w:t xml:space="preserve">suwerenną wizję strategiczną, zasady, cele i priorytety rozwoju kraju w wymiarze gospodarczym, społecznym i przestrzennym w perspektywie roku 2020 i 2030. Ze względu </w:t>
      </w:r>
      <w:r>
        <w:br/>
      </w:r>
      <w:r w:rsidR="00473328" w:rsidRPr="00A64508">
        <w:t xml:space="preserve">na swoją rolę i przypisane jej zadania </w:t>
      </w:r>
      <w:r w:rsidR="00473328">
        <w:t xml:space="preserve">SOR </w:t>
      </w:r>
      <w:r w:rsidR="00473328" w:rsidRPr="00A64508">
        <w:t xml:space="preserve">stanowi </w:t>
      </w:r>
      <w:r w:rsidR="00473328" w:rsidRPr="00A64508">
        <w:rPr>
          <w:bCs/>
        </w:rPr>
        <w:t>instrument elastycznego zarządzania głównymi procesami rozwojowymi w kraju</w:t>
      </w:r>
      <w:r w:rsidR="00473328">
        <w:t xml:space="preserve"> oraz </w:t>
      </w:r>
      <w:r w:rsidR="00473328" w:rsidRPr="00A64508">
        <w:t xml:space="preserve">wskazuje cele i niezbędne </w:t>
      </w:r>
      <w:r w:rsidR="006506A8">
        <w:t>działania, instrumenty realizac</w:t>
      </w:r>
      <w:r w:rsidR="00473328" w:rsidRPr="00A64508">
        <w:t>j</w:t>
      </w:r>
      <w:r w:rsidR="006506A8">
        <w:t>i</w:t>
      </w:r>
      <w:r w:rsidR="00473328" w:rsidRPr="00A64508">
        <w:t xml:space="preserve"> i kluczowe projekty zapewniające jej wdrożenie. Ustala również system koordynacji i realizacji wyznaczając role poszczególnym podmiotom publicznym oraz sposoby współpracy ze światem biznesu, nauki oraz ze społeczeństwem. W </w:t>
      </w:r>
      <w:r w:rsidR="00473328">
        <w:t xml:space="preserve">SOR zidentyfikowano </w:t>
      </w:r>
      <w:r w:rsidR="00473328" w:rsidRPr="00A64508">
        <w:rPr>
          <w:bCs/>
        </w:rPr>
        <w:t xml:space="preserve">ograniczoną liczbę oddolnych działań na rzecz dobra wspólnego. </w:t>
      </w:r>
      <w:r w:rsidR="00473328">
        <w:rPr>
          <w:bCs/>
        </w:rPr>
        <w:t xml:space="preserve">Zgodnie z diagnozą zawartą </w:t>
      </w:r>
      <w:r w:rsidR="008D3D07">
        <w:rPr>
          <w:bCs/>
        </w:rPr>
        <w:br/>
      </w:r>
      <w:r w:rsidR="00473328">
        <w:rPr>
          <w:bCs/>
        </w:rPr>
        <w:t xml:space="preserve">w SOR </w:t>
      </w:r>
      <w:r w:rsidR="00473328">
        <w:t>i</w:t>
      </w:r>
      <w:r w:rsidR="00473328" w:rsidRPr="00A64508">
        <w:t>nstytucje społec</w:t>
      </w:r>
      <w:r>
        <w:t>zeństwa obywatelskiego w Polsce</w:t>
      </w:r>
      <w:r w:rsidR="00473328" w:rsidRPr="00A64508">
        <w:t xml:space="preserve"> mają charakter </w:t>
      </w:r>
      <w:proofErr w:type="spellStart"/>
      <w:r w:rsidR="00473328" w:rsidRPr="00A64508">
        <w:t>enklawowy</w:t>
      </w:r>
      <w:proofErr w:type="spellEnd"/>
      <w:r w:rsidR="00473328" w:rsidRPr="00A64508">
        <w:t xml:space="preserve"> i są jednymi z najsłabszych i relatywnie najmnie</w:t>
      </w:r>
      <w:r w:rsidR="002A2B3D">
        <w:t>j licznych w Europie. Od 2008 roku</w:t>
      </w:r>
      <w:r w:rsidR="00473328" w:rsidRPr="00A64508">
        <w:t xml:space="preserve"> obserwowane jest systematyczne zmniejszanie się liczby członków stowarzyszeń. Przejawem słabej spójności społecznej i niewystarczającego kapitału społecznego jest także słabość instytucjonalna </w:t>
      </w:r>
      <w:r w:rsidR="008D3D07">
        <w:br/>
      </w:r>
      <w:r w:rsidR="00473328" w:rsidRPr="00A64508">
        <w:t>i finansowa organizacji społeczeństwa obywatelskiego.</w:t>
      </w:r>
    </w:p>
    <w:p w14:paraId="72E630E2" w14:textId="03F119D4" w:rsidR="00473328" w:rsidRDefault="006506A8" w:rsidP="006779C8">
      <w:r>
        <w:t>PROO</w:t>
      </w:r>
      <w:r w:rsidR="00B2612B" w:rsidRPr="008F7BD2">
        <w:t xml:space="preserve"> </w:t>
      </w:r>
      <w:r w:rsidR="00AE1280">
        <w:t xml:space="preserve">realizuje założenia </w:t>
      </w:r>
      <w:r w:rsidR="00711EB6">
        <w:t xml:space="preserve">SOR, nie wpisując </w:t>
      </w:r>
      <w:r w:rsidR="00473328">
        <w:t xml:space="preserve">się </w:t>
      </w:r>
      <w:r w:rsidR="00711EB6">
        <w:t xml:space="preserve">jednak </w:t>
      </w:r>
      <w:r w:rsidR="00473328">
        <w:t xml:space="preserve">wprost w cele szczegółowe Strategii. Tematyka wsparcia rozwoju społeczeństwa obywatelskiego jest natomiast obecna </w:t>
      </w:r>
      <w:r w:rsidR="006779C8">
        <w:t xml:space="preserve">w ramach jednego z </w:t>
      </w:r>
      <w:r w:rsidR="00711EB6">
        <w:t xml:space="preserve">tzw. </w:t>
      </w:r>
      <w:r w:rsidR="006779C8">
        <w:t xml:space="preserve">obszarów wpływających na osiągnięcie celów SOR zdefiniowanego jako kapitał </w:t>
      </w:r>
      <w:r w:rsidR="006779C8">
        <w:lastRenderedPageBreak/>
        <w:t xml:space="preserve">ludzki i społeczny. Zgodnie z zapisami SOR kapitał społeczny jest warunkiem współpracy opartej na zaufaniu i punktem wyjścia dla rozwoju nowoczesnej gospodarki. </w:t>
      </w:r>
      <w:r w:rsidR="00711EB6">
        <w:t>Zgodnie z SOR k</w:t>
      </w:r>
      <w:r w:rsidR="006779C8">
        <w:t>ształtowanie postaw sprzyjających kooperacji, kreatywności oraz komunikacji, zwiększenie partycypacji społecznej i wpływu obywateli na życie publiczne to warunki powodzenia planowanych działań rozwojowych. Równocześnie SOR wskazuje, że klimat trwałego</w:t>
      </w:r>
      <w:r w:rsidR="00711EB6">
        <w:t xml:space="preserve"> zaufania pomiędzy obywatelami oraz </w:t>
      </w:r>
      <w:r w:rsidR="006323CC">
        <w:t>w relacji państwo – obywatel</w:t>
      </w:r>
      <w:r w:rsidR="006779C8">
        <w:t xml:space="preserve"> należy traktować jako swego rodzaju katalizator wszystkich zmian lub </w:t>
      </w:r>
      <w:r w:rsidR="00081C9A">
        <w:t xml:space="preserve">działań, praktyczną dźwignię inicjatyw </w:t>
      </w:r>
      <w:r w:rsidR="006779C8">
        <w:t xml:space="preserve">i </w:t>
      </w:r>
      <w:r w:rsidR="00081C9A">
        <w:t xml:space="preserve">podejmowanych celów </w:t>
      </w:r>
      <w:r w:rsidR="006779C8">
        <w:t>rozwojowych</w:t>
      </w:r>
      <w:r w:rsidR="00081C9A">
        <w:t>.</w:t>
      </w:r>
    </w:p>
    <w:p w14:paraId="1443F1E7" w14:textId="503281C8" w:rsidR="00493BFA" w:rsidRDefault="00B2612B" w:rsidP="00493BFA">
      <w:r w:rsidRPr="00473328">
        <w:rPr>
          <w:rStyle w:val="Uwydatnienie"/>
          <w:i w:val="0"/>
        </w:rPr>
        <w:t>Program</w:t>
      </w:r>
      <w:r w:rsidRPr="00567CAF">
        <w:rPr>
          <w:rStyle w:val="Uwydatnienie"/>
          <w:i w:val="0"/>
        </w:rPr>
        <w:t xml:space="preserve"> jest również spójny ze</w:t>
      </w:r>
      <w:r w:rsidRPr="00567CAF">
        <w:rPr>
          <w:rStyle w:val="Uwydatnienie"/>
        </w:rPr>
        <w:t xml:space="preserve"> </w:t>
      </w:r>
      <w:r w:rsidRPr="00567CAF">
        <w:t>Strategią Rozwoju Kapitału Społeczne</w:t>
      </w:r>
      <w:r w:rsidR="00711EB6">
        <w:t xml:space="preserve"> </w:t>
      </w:r>
      <w:r w:rsidRPr="00567CAF">
        <w:t>go do roku 2020</w:t>
      </w:r>
      <w:r w:rsidR="00711EB6">
        <w:t xml:space="preserve"> (SRKS)</w:t>
      </w:r>
      <w:r w:rsidRPr="00567CAF">
        <w:t xml:space="preserve">. </w:t>
      </w:r>
      <w:r w:rsidR="00081C9A" w:rsidRPr="00A64508">
        <w:t xml:space="preserve">Strategia </w:t>
      </w:r>
      <w:r w:rsidR="00711EB6">
        <w:t xml:space="preserve">ta </w:t>
      </w:r>
      <w:r w:rsidR="00081C9A" w:rsidRPr="00A64508">
        <w:t xml:space="preserve">jest </w:t>
      </w:r>
      <w:r w:rsidR="00081C9A">
        <w:t xml:space="preserve">zintegrowaną </w:t>
      </w:r>
      <w:r w:rsidR="00081C9A" w:rsidRPr="00A64508">
        <w:t>strategią horyzontalną uszczegóławiającą i rozwijającą zapisy Strategii na Rzecz Odpowiedzialnego Rozwoju. Zgodnie z</w:t>
      </w:r>
      <w:r w:rsidR="00711EB6">
        <w:t xml:space="preserve"> SRKS </w:t>
      </w:r>
      <w:r w:rsidR="00081C9A" w:rsidRPr="00A64508">
        <w:t>w</w:t>
      </w:r>
      <w:r w:rsidR="00081C9A" w:rsidRPr="00A64508">
        <w:rPr>
          <w:bCs/>
        </w:rPr>
        <w:t xml:space="preserve">zmocnienia wymagają czynniki kapitału społecznego przekładające się na warunki życia i dobrostan obywateli, takie jak: zaufanie między ludźmi, poziom aktywności obywatelskiej, umiejętność współpracy </w:t>
      </w:r>
      <w:r w:rsidR="00711EB6">
        <w:rPr>
          <w:bCs/>
        </w:rPr>
        <w:br/>
      </w:r>
      <w:r w:rsidR="00081C9A" w:rsidRPr="00A64508">
        <w:rPr>
          <w:bCs/>
        </w:rPr>
        <w:t xml:space="preserve">i komunikowania, potencjał kulturowy i kreatywny. </w:t>
      </w:r>
      <w:r w:rsidR="00711EB6">
        <w:rPr>
          <w:bCs/>
        </w:rPr>
        <w:t>Zapisy SRKS wskazują, że t</w:t>
      </w:r>
      <w:r w:rsidR="00081C9A" w:rsidRPr="00A64508">
        <w:rPr>
          <w:bCs/>
        </w:rPr>
        <w:t xml:space="preserve">ylko wzrost zaufania społecznego, którego poziom należy obecnie </w:t>
      </w:r>
      <w:r w:rsidR="00081C9A">
        <w:rPr>
          <w:bCs/>
        </w:rPr>
        <w:t xml:space="preserve">w Polsce </w:t>
      </w:r>
      <w:r w:rsidR="00081C9A" w:rsidRPr="00A64508">
        <w:rPr>
          <w:bCs/>
        </w:rPr>
        <w:t xml:space="preserve">do najniższych w Europie, usprawni szeroko pojętą współpracę między ludźmi w Polsce. </w:t>
      </w:r>
      <w:r w:rsidR="00081C9A">
        <w:rPr>
          <w:bCs/>
        </w:rPr>
        <w:t>Kapitał społeczny t</w:t>
      </w:r>
      <w:r w:rsidR="00081C9A" w:rsidRPr="00A64508">
        <w:rPr>
          <w:bCs/>
        </w:rPr>
        <w:t>o także</w:t>
      </w:r>
      <w:r w:rsidR="004E6036">
        <w:rPr>
          <w:bCs/>
        </w:rPr>
        <w:t>, zgodnie z SRKS,</w:t>
      </w:r>
      <w:r w:rsidR="00081C9A" w:rsidRPr="00A64508">
        <w:rPr>
          <w:bCs/>
        </w:rPr>
        <w:t xml:space="preserve"> kapitał o charakterze sieciowym, oparty na więziach sięgających poza krąg najbliższych kontaktów</w:t>
      </w:r>
      <w:r w:rsidR="004E6036">
        <w:rPr>
          <w:bCs/>
        </w:rPr>
        <w:t xml:space="preserve"> oraz</w:t>
      </w:r>
      <w:r w:rsidR="00081C9A" w:rsidRPr="00A64508">
        <w:rPr>
          <w:bCs/>
        </w:rPr>
        <w:t xml:space="preserve"> zdolność do nieszablonowego, kreatywnego działania – samodzielnie i razem. Strategia w obecnym kształcie przewiduje działania na rzecz </w:t>
      </w:r>
      <w:r w:rsidR="00081C9A" w:rsidRPr="00A64508">
        <w:t xml:space="preserve">wspierania rozwoju i wzmacniania zaplecza społecznego organizacji pozarządowych: liderów, pracowników, członków i wolontariuszy, a także promowanie i wspieranie rozwoju wolontariatu. </w:t>
      </w:r>
      <w:r w:rsidR="00493BFA">
        <w:t xml:space="preserve">Fundamentalne założenia </w:t>
      </w:r>
      <w:r w:rsidR="00596911">
        <w:t>PROO</w:t>
      </w:r>
      <w:r w:rsidR="00493BFA" w:rsidRPr="008F7BD2">
        <w:t xml:space="preserve"> na lata 2018-2030</w:t>
      </w:r>
      <w:r w:rsidR="00493BFA" w:rsidRPr="00A64508">
        <w:t xml:space="preserve"> </w:t>
      </w:r>
      <w:r w:rsidR="00493BFA">
        <w:t xml:space="preserve">obejmują </w:t>
      </w:r>
      <w:r w:rsidR="00493BFA" w:rsidRPr="00A64508">
        <w:t xml:space="preserve">wsparcie </w:t>
      </w:r>
      <w:r w:rsidR="00493BFA">
        <w:t>realizacji</w:t>
      </w:r>
      <w:r w:rsidR="00493BFA" w:rsidRPr="00A64508">
        <w:t xml:space="preserve"> misji organizacji obywatelskich i ich rozwoju poza systemem realizacji zadań publicznych określonym w</w:t>
      </w:r>
      <w:r w:rsidR="00493BFA">
        <w:t xml:space="preserve"> </w:t>
      </w:r>
      <w:proofErr w:type="spellStart"/>
      <w:r w:rsidR="00761D24">
        <w:t>UoDPPi</w:t>
      </w:r>
      <w:r w:rsidR="005768C3">
        <w:t>W</w:t>
      </w:r>
      <w:proofErr w:type="spellEnd"/>
      <w:r w:rsidR="00493BFA">
        <w:t>.</w:t>
      </w:r>
      <w:r w:rsidR="00493BFA" w:rsidRPr="00A64508">
        <w:t xml:space="preserve"> </w:t>
      </w:r>
      <w:r w:rsidR="00493BFA">
        <w:t xml:space="preserve">W szerszej perspektywie </w:t>
      </w:r>
      <w:r w:rsidR="00C063AD">
        <w:t xml:space="preserve">Program ma </w:t>
      </w:r>
      <w:r w:rsidR="00493BFA">
        <w:t xml:space="preserve">oddziaływać w formie </w:t>
      </w:r>
      <w:r w:rsidR="00493BFA" w:rsidRPr="00A64508">
        <w:t>z</w:t>
      </w:r>
      <w:r w:rsidR="00493BFA">
        <w:t xml:space="preserve">większenia niezależności </w:t>
      </w:r>
      <w:r w:rsidR="00493BFA" w:rsidRPr="00A64508">
        <w:t xml:space="preserve">organizacji </w:t>
      </w:r>
      <w:r w:rsidR="00493BFA">
        <w:t xml:space="preserve">społeczeństwa obywatelskiego </w:t>
      </w:r>
      <w:r w:rsidR="00493BFA" w:rsidRPr="00A64508">
        <w:t xml:space="preserve">od środków publicznych dystrybuowanych w ramach systemu </w:t>
      </w:r>
      <w:r w:rsidR="00493BFA">
        <w:t xml:space="preserve">zlecania </w:t>
      </w:r>
      <w:r w:rsidR="00493BFA" w:rsidRPr="00A64508">
        <w:t>zadań publicznych</w:t>
      </w:r>
      <w:r w:rsidR="00493BFA">
        <w:t xml:space="preserve"> przez organy administracji. </w:t>
      </w:r>
      <w:r w:rsidR="00C063AD">
        <w:br/>
      </w:r>
      <w:r w:rsidR="00493BFA">
        <w:t xml:space="preserve">W tym sensie założenia Programu wykraczają poza SRKS w jej obecnym brzmieniu, gdzie kładzie się nacisk na </w:t>
      </w:r>
      <w:r w:rsidR="004E6036">
        <w:t>w</w:t>
      </w:r>
      <w:r w:rsidR="00493BFA">
        <w:t xml:space="preserve">spieranie rozwoju partnerstwa i innych form współpracy, służących przekazywaniu realizacji zadań publicznych obywatelom. </w:t>
      </w:r>
    </w:p>
    <w:p w14:paraId="0FB27428" w14:textId="4F891ACC" w:rsidR="00081C9A" w:rsidRDefault="00081C9A" w:rsidP="00493BFA">
      <w:r w:rsidRPr="00A64508">
        <w:t xml:space="preserve">Zakłada się, że w </w:t>
      </w:r>
      <w:r>
        <w:t>ramach aktualizacji</w:t>
      </w:r>
      <w:r w:rsidRPr="00A64508">
        <w:t xml:space="preserve"> </w:t>
      </w:r>
      <w:r w:rsidR="00711EB6">
        <w:t>SRKS</w:t>
      </w:r>
      <w:r w:rsidRPr="00A64508">
        <w:t xml:space="preserve"> tematyka wspierania rozwoju społeczeństwa obywatelskiego uzyska większą rangę i wymiar. Wsparcie rozwoju społeczeństwa </w:t>
      </w:r>
      <w:r w:rsidRPr="00A64508">
        <w:lastRenderedPageBreak/>
        <w:t>obywatelskiego ma stać się jednym z trzech wiodących obszarów tematycznych</w:t>
      </w:r>
      <w:r w:rsidR="00711EB6">
        <w:t xml:space="preserve"> SRKS</w:t>
      </w:r>
      <w:r w:rsidR="00C063AD">
        <w:t>. Obszar ten</w:t>
      </w:r>
      <w:r w:rsidRPr="00A64508">
        <w:t xml:space="preserve"> zostanie rozwinięty w postaci kierunków działań st</w:t>
      </w:r>
      <w:r w:rsidRPr="000C1CE1">
        <w:t>anowiących elementy Narodowego Programu Wspierania Rozwoju Społeczeństwa Obywatelskiego. Wspieranie realizacji</w:t>
      </w:r>
      <w:r w:rsidRPr="00A64508">
        <w:t xml:space="preserve"> misji organizacji obywatelskich mieszczących się w sferze pożytku publicznego określonego </w:t>
      </w:r>
      <w:r w:rsidR="00493BFA">
        <w:br/>
      </w:r>
      <w:r w:rsidRPr="00A64508">
        <w:t xml:space="preserve">w art. 4 ust. 1 </w:t>
      </w:r>
      <w:proofErr w:type="spellStart"/>
      <w:r w:rsidR="00C063AD">
        <w:t>UoDPPiW</w:t>
      </w:r>
      <w:proofErr w:type="spellEnd"/>
      <w:r w:rsidR="00C063AD">
        <w:t xml:space="preserve"> </w:t>
      </w:r>
      <w:r w:rsidRPr="00A64508">
        <w:t xml:space="preserve">oraz ich rozwoju instytucjonalnego, rozwoju zasobów organizacyjnych </w:t>
      </w:r>
      <w:r w:rsidR="00493BFA">
        <w:br/>
      </w:r>
      <w:r w:rsidR="007B4C28">
        <w:t xml:space="preserve">i finansowych, a także </w:t>
      </w:r>
      <w:r>
        <w:t xml:space="preserve">wsparcie zwiększania </w:t>
      </w:r>
      <w:r w:rsidRPr="00A64508">
        <w:t>niezależności organizacji obywa</w:t>
      </w:r>
      <w:r>
        <w:t xml:space="preserve">telskich od władz, biznesu i innych </w:t>
      </w:r>
      <w:r w:rsidRPr="00A64508">
        <w:t xml:space="preserve">grup nacisku </w:t>
      </w:r>
      <w:r>
        <w:t xml:space="preserve">są głównymi </w:t>
      </w:r>
      <w:r w:rsidRPr="00A64508">
        <w:t>prioryte</w:t>
      </w:r>
      <w:r>
        <w:t>tami określonymi</w:t>
      </w:r>
      <w:r w:rsidRPr="00A64508">
        <w:t xml:space="preserve"> w założeniach </w:t>
      </w:r>
      <w:r w:rsidR="008D43AB">
        <w:t>NPWRSO</w:t>
      </w:r>
      <w:r w:rsidRPr="00A64508">
        <w:t xml:space="preserve"> </w:t>
      </w:r>
      <w:r w:rsidR="008D43AB">
        <w:br/>
      </w:r>
      <w:r w:rsidRPr="00A64508">
        <w:t xml:space="preserve">i </w:t>
      </w:r>
      <w:r w:rsidR="002A2B3D">
        <w:t>należy oczekiwać, że znajdą s</w:t>
      </w:r>
      <w:r w:rsidR="00493BFA">
        <w:t xml:space="preserve">woje bezpośrednie odzwierciedlenie w zapisach </w:t>
      </w:r>
      <w:r w:rsidR="00D72589">
        <w:t xml:space="preserve">zaktualizowanej </w:t>
      </w:r>
      <w:r w:rsidRPr="00A64508">
        <w:t>S</w:t>
      </w:r>
      <w:r w:rsidR="00D72589">
        <w:t>RKS</w:t>
      </w:r>
      <w:r w:rsidR="008D43AB">
        <w:t>.</w:t>
      </w:r>
    </w:p>
    <w:p w14:paraId="2F8A37DD" w14:textId="2D1D7246" w:rsidR="00D72589" w:rsidRPr="00A64508" w:rsidRDefault="00B2612B" w:rsidP="00D72589">
      <w:r w:rsidRPr="00567CAF">
        <w:t xml:space="preserve">Wieloletni program </w:t>
      </w:r>
      <w:r w:rsidR="00D72589">
        <w:t>wsparcia</w:t>
      </w:r>
      <w:r w:rsidRPr="00567CAF">
        <w:t xml:space="preserve"> instytucjonalnego organizacji społeczeństwa obywatelskiego jest </w:t>
      </w:r>
      <w:r w:rsidR="00493BFA">
        <w:t xml:space="preserve">zatem </w:t>
      </w:r>
      <w:r w:rsidRPr="00567CAF">
        <w:t xml:space="preserve">elementem </w:t>
      </w:r>
      <w:r w:rsidR="00081C9A">
        <w:t>realizacji założeń</w:t>
      </w:r>
      <w:r w:rsidRPr="00567CAF">
        <w:t xml:space="preserve"> </w:t>
      </w:r>
      <w:r w:rsidR="008D43AB">
        <w:t>NPWRSO</w:t>
      </w:r>
      <w:r w:rsidR="00513C20">
        <w:t>, który został uwzględniony</w:t>
      </w:r>
      <w:r w:rsidR="00B716A8">
        <w:t xml:space="preserve"> w S</w:t>
      </w:r>
      <w:r w:rsidR="00513C20">
        <w:t>OR</w:t>
      </w:r>
      <w:r w:rsidR="00B716A8">
        <w:t xml:space="preserve">, a także </w:t>
      </w:r>
      <w:r w:rsidR="008D43AB">
        <w:br/>
      </w:r>
      <w:r w:rsidR="00513C20">
        <w:t>w projekcie</w:t>
      </w:r>
      <w:r w:rsidRPr="00567CAF">
        <w:t xml:space="preserve"> </w:t>
      </w:r>
      <w:r w:rsidR="00513C20">
        <w:t>Strategii</w:t>
      </w:r>
      <w:r w:rsidR="00513C20" w:rsidRPr="00513C20">
        <w:t xml:space="preserve"> Rozwoju Kapitału Społecznego (współdziałanie, kultura, kreatywność) </w:t>
      </w:r>
      <w:r w:rsidR="008D43AB">
        <w:br/>
      </w:r>
      <w:r w:rsidR="00513C20" w:rsidRPr="00513C20">
        <w:t xml:space="preserve">do roku 2020 z perspektywą do roku 2030, która będzie zaktualizowaną wersją </w:t>
      </w:r>
      <w:r w:rsidR="002A2B3D">
        <w:t>SRKS</w:t>
      </w:r>
      <w:r w:rsidR="00B716A8">
        <w:t>.</w:t>
      </w:r>
      <w:r w:rsidR="00D72589">
        <w:t xml:space="preserve"> </w:t>
      </w:r>
    </w:p>
    <w:p w14:paraId="5C9ABCD7" w14:textId="01547A17" w:rsidR="00081C9A" w:rsidRDefault="00081C9A" w:rsidP="002104C2">
      <w:r>
        <w:t xml:space="preserve">Biorąc pod uwagę obowiązujące zapisy ww. dokumentów strategicznych należy oczekiwać, </w:t>
      </w:r>
      <w:r w:rsidR="008D3D07">
        <w:br/>
      </w:r>
      <w:r>
        <w:t>że Program</w:t>
      </w:r>
      <w:r w:rsidRPr="008F7BD2">
        <w:t xml:space="preserve"> </w:t>
      </w:r>
      <w:r>
        <w:t xml:space="preserve">będzie oddziaływał na </w:t>
      </w:r>
      <w:r w:rsidR="00CD7520">
        <w:t xml:space="preserve">osiągnięcie </w:t>
      </w:r>
      <w:r>
        <w:t xml:space="preserve">ich </w:t>
      </w:r>
      <w:r w:rsidR="00CD7520">
        <w:t>założeń (</w:t>
      </w:r>
      <w:r w:rsidR="00B8564B">
        <w:t xml:space="preserve">w odniesieniu do SOR jako element obszaru </w:t>
      </w:r>
      <w:r w:rsidR="002104C2">
        <w:t>„</w:t>
      </w:r>
      <w:r w:rsidR="00B8564B">
        <w:t>kapitał ludzki i społeczny</w:t>
      </w:r>
      <w:r w:rsidR="002104C2">
        <w:t>”</w:t>
      </w:r>
      <w:r w:rsidR="00B8564B">
        <w:t xml:space="preserve">, w odniesieniu do SRKS w </w:t>
      </w:r>
      <w:r w:rsidR="00975B7F">
        <w:t>zakresie</w:t>
      </w:r>
      <w:r w:rsidR="00B8564B">
        <w:t xml:space="preserve"> Celu Operacyjnego 2. Poprawa mechanizmów partycypacji społecznej i wpływu obywateli na życie publiczne)</w:t>
      </w:r>
      <w:r>
        <w:t xml:space="preserve">. </w:t>
      </w:r>
      <w:r w:rsidR="00CD7520">
        <w:t xml:space="preserve">Biorąc </w:t>
      </w:r>
      <w:r w:rsidR="00D72589">
        <w:t xml:space="preserve">jednak </w:t>
      </w:r>
      <w:r w:rsidR="00CD7520">
        <w:t xml:space="preserve">pod uwagę, </w:t>
      </w:r>
      <w:r w:rsidR="00D72589">
        <w:t xml:space="preserve">że </w:t>
      </w:r>
      <w:r w:rsidR="00B8564B">
        <w:t>w analizowanych dokumentach strategicznych nie wskazuje się bezpośrednio wzmocnienia instytucjonalnego organizacji obywatelsk</w:t>
      </w:r>
      <w:r w:rsidR="00D72589">
        <w:t xml:space="preserve">ich, </w:t>
      </w:r>
      <w:r w:rsidR="00B8564B">
        <w:t>nie można stwierdzić, że Program realizuje wprost cele S</w:t>
      </w:r>
      <w:r w:rsidR="002A2B3D">
        <w:t>OR</w:t>
      </w:r>
      <w:r w:rsidR="00B8564B">
        <w:t xml:space="preserve"> oraz S</w:t>
      </w:r>
      <w:r w:rsidR="002A2B3D">
        <w:t>RKS</w:t>
      </w:r>
      <w:r w:rsidR="00B8564B">
        <w:t xml:space="preserve">. W związku </w:t>
      </w:r>
      <w:r w:rsidR="008D43AB">
        <w:t>z powyższym PROO</w:t>
      </w:r>
      <w:r w:rsidR="00B8564B">
        <w:t xml:space="preserve"> nie jest </w:t>
      </w:r>
      <w:r w:rsidR="00B8564B" w:rsidRPr="00A64508">
        <w:t>programem rozwoju w rozumieniu art. 15 ust. 4 pkt 2 ustawy z dnia 6 grudnia 2006 r. o zasadac</w:t>
      </w:r>
      <w:r w:rsidR="00B8564B">
        <w:t xml:space="preserve">h prowadzenia polityki rozwoju (z uwagi na fakt, że nie </w:t>
      </w:r>
      <w:r w:rsidR="00B8564B" w:rsidRPr="00A64508">
        <w:t xml:space="preserve">realizuje </w:t>
      </w:r>
      <w:r w:rsidR="00B8564B">
        <w:t>wprost celów zawartych</w:t>
      </w:r>
      <w:r w:rsidR="00B8564B" w:rsidRPr="00A64508">
        <w:t xml:space="preserve"> </w:t>
      </w:r>
      <w:r w:rsidR="008D3D07">
        <w:br/>
      </w:r>
      <w:r w:rsidR="00B8564B" w:rsidRPr="00A64508">
        <w:t>w strategiach rozwoju, o których mowa w art. 9 pkt 3</w:t>
      </w:r>
      <w:r w:rsidR="00975B7F">
        <w:t xml:space="preserve"> tej</w:t>
      </w:r>
      <w:r w:rsidR="00B8564B">
        <w:t xml:space="preserve"> ustawy).</w:t>
      </w:r>
      <w:r w:rsidR="002104C2">
        <w:t xml:space="preserve"> Program nie jest również programem wieloletnim w rozumieniu art. 136. ust. 2 ustawy </w:t>
      </w:r>
      <w:r w:rsidR="009C1F3B" w:rsidRPr="009C1F3B">
        <w:t>z dnia 27 sierpnia 2009 r.</w:t>
      </w:r>
      <w:r w:rsidR="009C1F3B">
        <w:t xml:space="preserve"> </w:t>
      </w:r>
      <w:r w:rsidR="008D3D07">
        <w:br/>
      </w:r>
      <w:r w:rsidR="002104C2">
        <w:t>o finansach publicznych, tzn. nie został ustanowiony przez Radę Ministrów w celu realizacji strategii przyjętych przez Radę Ministrów.</w:t>
      </w:r>
    </w:p>
    <w:p w14:paraId="4F23BA58" w14:textId="77777777" w:rsidR="00B91DD9" w:rsidRDefault="00B91DD9">
      <w:pPr>
        <w:spacing w:after="160" w:line="259" w:lineRule="auto"/>
        <w:jc w:val="left"/>
      </w:pPr>
      <w:r>
        <w:br w:type="page"/>
      </w:r>
    </w:p>
    <w:p w14:paraId="27D29956" w14:textId="05478521" w:rsidR="00490ABA" w:rsidRPr="00490ABA" w:rsidRDefault="00490ABA" w:rsidP="00490ABA">
      <w:pPr>
        <w:pStyle w:val="Nagwek1"/>
      </w:pPr>
      <w:bookmarkStart w:id="7" w:name="_Toc508718255"/>
      <w:bookmarkStart w:id="8" w:name="_Toc508718402"/>
      <w:bookmarkStart w:id="9" w:name="_Toc508718459"/>
      <w:bookmarkStart w:id="10" w:name="_Toc508718526"/>
      <w:bookmarkStart w:id="11" w:name="_Toc516642770"/>
      <w:r>
        <w:lastRenderedPageBreak/>
        <w:t>2. Diagnoza</w:t>
      </w:r>
      <w:r w:rsidRPr="00490ABA">
        <w:t xml:space="preserve"> rozwoju instytucjonalnego organizacji obywatelskich</w:t>
      </w:r>
      <w:bookmarkEnd w:id="0"/>
      <w:bookmarkEnd w:id="7"/>
      <w:bookmarkEnd w:id="8"/>
      <w:bookmarkEnd w:id="9"/>
      <w:bookmarkEnd w:id="10"/>
      <w:bookmarkEnd w:id="11"/>
    </w:p>
    <w:p w14:paraId="555137B5" w14:textId="60C32FA2" w:rsidR="00490ABA" w:rsidRPr="00490ABA" w:rsidRDefault="00490ABA" w:rsidP="00490ABA">
      <w:r w:rsidRPr="00490ABA">
        <w:t>W świetle Preambuły Konstytucji RP relacje państwo – obywatel i organizacje obywatelskie powinny układać się w myśl zasady pomocniczości, która oznacza, że zadania, jakie mogą być realizowane przez jednostkę (obywatela lub organizację obywatelską), nie powinny być wykonywane przez państwo. Misją i zadaniem państwa jest tak wspierać budowę i rozwój sektora oby</w:t>
      </w:r>
      <w:r w:rsidR="00554145">
        <w:t xml:space="preserve">watelskiego, </w:t>
      </w:r>
      <w:r w:rsidRPr="00490ABA">
        <w:t xml:space="preserve">by organizacje obywatelskie mogły skutecznie </w:t>
      </w:r>
      <w:r w:rsidR="008B56CD">
        <w:t>działać na rzecz dobra wspólnego</w:t>
      </w:r>
      <w:r w:rsidRPr="00490ABA">
        <w:t xml:space="preserve">. Właściwie funkcjonujący sektor obywatelski to istotowy element demokracji </w:t>
      </w:r>
      <w:r>
        <w:br/>
      </w:r>
      <w:r w:rsidRPr="00490ABA">
        <w:t xml:space="preserve">i rozwoju społecznego, a co za tym idzie ważny element funkcjonalny życia publicznego. </w:t>
      </w:r>
      <w:r>
        <w:br/>
      </w:r>
      <w:r w:rsidRPr="00490ABA">
        <w:t>W związku z tym</w:t>
      </w:r>
      <w:r w:rsidR="00554145">
        <w:t>,</w:t>
      </w:r>
      <w:r w:rsidRPr="00490ABA">
        <w:t xml:space="preserve"> jednym z priorytetów kształtowania polityki państwa w zakresie wspierania rozwoju społeczeństwa obywatelskieg</w:t>
      </w:r>
      <w:r w:rsidR="00387386">
        <w:t xml:space="preserve">o powinno być przeciwdziałanie </w:t>
      </w:r>
      <w:r w:rsidRPr="00490ABA">
        <w:t xml:space="preserve">wszelkim barierom </w:t>
      </w:r>
      <w:r>
        <w:br/>
      </w:r>
      <w:r w:rsidRPr="00490ABA">
        <w:t xml:space="preserve">i </w:t>
      </w:r>
      <w:r w:rsidR="008B56CD">
        <w:t xml:space="preserve">przeszkodom </w:t>
      </w:r>
      <w:r w:rsidRPr="00490ABA">
        <w:t>stojącym na drodze rozwoju instytucjonalnego organizacji pozarządowych. Wzmacnianie potencjału instytucjonalnego organi</w:t>
      </w:r>
      <w:r w:rsidR="00387386">
        <w:t>zacji pozarządowych to działania</w:t>
      </w:r>
      <w:r w:rsidRPr="00490ABA">
        <w:t xml:space="preserve"> zmierzające do podniesienia skuteczności, efektywności i konkurencyjności działania organizacji pozarządowych w zakresie </w:t>
      </w:r>
      <w:r w:rsidR="008B56CD">
        <w:t xml:space="preserve">realizacji ich działań misyjnych </w:t>
      </w:r>
      <w:r w:rsidRPr="00490ABA">
        <w:t xml:space="preserve">oraz poszerzanie grupy organizacji mających odpowiedni </w:t>
      </w:r>
      <w:r w:rsidR="008B56CD">
        <w:t>potencjał do podejmowania aktywności na rzecz wspólnoty</w:t>
      </w:r>
      <w:r w:rsidRPr="00490ABA">
        <w:t xml:space="preserve">. Wśród licznych barier i problemów na polu </w:t>
      </w:r>
      <w:r w:rsidR="00E61782" w:rsidRPr="00490ABA">
        <w:t xml:space="preserve">funkcjonowania </w:t>
      </w:r>
      <w:r w:rsidRPr="00490ABA">
        <w:t>instytucjonalnego</w:t>
      </w:r>
      <w:r w:rsidR="00554145">
        <w:t>,</w:t>
      </w:r>
      <w:r w:rsidRPr="00490ABA">
        <w:t xml:space="preserve"> jakie są zgłaszane przez organizacje pozarządowe</w:t>
      </w:r>
      <w:r w:rsidR="00554145">
        <w:t>,</w:t>
      </w:r>
      <w:r w:rsidRPr="00490ABA">
        <w:t xml:space="preserve"> wiele może zostać usuniętych lub złagodzonych przez wdrożenie odpowiednich </w:t>
      </w:r>
      <w:r w:rsidR="00387386">
        <w:t xml:space="preserve">mechanizmów </w:t>
      </w:r>
      <w:r w:rsidRPr="00490ABA">
        <w:t>wspierających.</w:t>
      </w:r>
    </w:p>
    <w:p w14:paraId="27D2EED3" w14:textId="77777777" w:rsidR="00490ABA" w:rsidRPr="00490ABA" w:rsidRDefault="00490ABA" w:rsidP="00490ABA">
      <w:pPr>
        <w:pStyle w:val="Nagwek2"/>
      </w:pPr>
      <w:bookmarkStart w:id="12" w:name="_Toc508718527"/>
      <w:r>
        <w:t xml:space="preserve">2.1. </w:t>
      </w:r>
      <w:r w:rsidRPr="00490ABA">
        <w:t>Struktura barier i problemów zgłaszanych przez organizacje pozarządowe</w:t>
      </w:r>
      <w:bookmarkEnd w:id="12"/>
    </w:p>
    <w:p w14:paraId="6220E6D9" w14:textId="37CD3F5B" w:rsidR="00490ABA" w:rsidRPr="00490ABA" w:rsidRDefault="00490ABA" w:rsidP="00490ABA">
      <w:r w:rsidRPr="00490ABA">
        <w:t xml:space="preserve">Bariery i problemy przedstawiane przez organizacje pozarządowe jako najważniejsze przeszkody w ich funkcjonowaniu i rozwoju są jednym z istotnych tematów podejmowanych </w:t>
      </w:r>
      <w:r w:rsidR="00387386">
        <w:br/>
      </w:r>
      <w:r w:rsidRPr="00490ABA">
        <w:t>w badaniach dotyczących działania i rozwoju tychże organizacji</w:t>
      </w:r>
      <w:r w:rsidRPr="00490ABA">
        <w:rPr>
          <w:vertAlign w:val="superscript"/>
        </w:rPr>
        <w:footnoteReference w:id="1"/>
      </w:r>
      <w:r w:rsidRPr="00490ABA">
        <w:t>. Co najmniej od roku 2005 lista najważniejszych problemów, z którymi borykają się organizacje</w:t>
      </w:r>
      <w:r w:rsidR="00554145">
        <w:t>,</w:t>
      </w:r>
      <w:r w:rsidRPr="00490ABA">
        <w:t xml:space="preserve"> praktycznie nie ulega zmianie. Wysoki jest </w:t>
      </w:r>
      <w:r w:rsidR="00E61782">
        <w:t>także</w:t>
      </w:r>
      <w:r w:rsidRPr="00490ABA">
        <w:t xml:space="preserve"> odsetek organizacji, które napotykają na poważne przeszkody w </w:t>
      </w:r>
      <w:r w:rsidR="00E61782">
        <w:t xml:space="preserve">prowadzeniu swojej </w:t>
      </w:r>
      <w:r w:rsidRPr="00490ABA">
        <w:t>działalności. Według badań GUS</w:t>
      </w:r>
      <w:r w:rsidR="00554145">
        <w:t>,</w:t>
      </w:r>
      <w:r w:rsidRPr="00490ABA">
        <w:t xml:space="preserve"> w 2014 </w:t>
      </w:r>
      <w:r w:rsidR="00554145" w:rsidRPr="00490ABA">
        <w:t xml:space="preserve">roku </w:t>
      </w:r>
      <w:r w:rsidRPr="00490ABA">
        <w:t xml:space="preserve">aż 71% organizacji deklarowało zmaganie się z co najmniej jedną istotną barierą </w:t>
      </w:r>
      <w:r w:rsidR="00E61782" w:rsidRPr="00490ABA">
        <w:t xml:space="preserve">znacząco </w:t>
      </w:r>
      <w:r w:rsidRPr="00490ABA">
        <w:t xml:space="preserve">utrudniającą im </w:t>
      </w:r>
      <w:r w:rsidRPr="00490ABA">
        <w:lastRenderedPageBreak/>
        <w:t xml:space="preserve">funkcjonowanie. W odniesieniu do poszczególnych rodzajów organizacji procentowa struktura </w:t>
      </w:r>
      <w:r w:rsidR="00E61782">
        <w:t>tych, które napotykają różne problemy i bariery,</w:t>
      </w:r>
      <w:r w:rsidRPr="00490ABA">
        <w:t xml:space="preserve"> wygląda następująco:</w:t>
      </w:r>
    </w:p>
    <w:p w14:paraId="1B0A2150" w14:textId="4BF07A1A" w:rsidR="00554145" w:rsidRDefault="00554145" w:rsidP="00554145">
      <w:pPr>
        <w:pStyle w:val="Legenda"/>
        <w:keepNext/>
      </w:pPr>
      <w:bookmarkStart w:id="13" w:name="_Toc511125929"/>
      <w:r>
        <w:t xml:space="preserve">Wykres </w:t>
      </w:r>
      <w:r w:rsidR="00876468">
        <w:fldChar w:fldCharType="begin"/>
      </w:r>
      <w:r w:rsidR="00876468">
        <w:instrText xml:space="preserve"> SEQ Wykres \* ARABIC </w:instrText>
      </w:r>
      <w:r w:rsidR="00876468">
        <w:fldChar w:fldCharType="separate"/>
      </w:r>
      <w:r w:rsidR="00E74C5A">
        <w:rPr>
          <w:noProof/>
        </w:rPr>
        <w:t>1</w:t>
      </w:r>
      <w:r w:rsidR="00876468">
        <w:rPr>
          <w:noProof/>
        </w:rPr>
        <w:fldChar w:fldCharType="end"/>
      </w:r>
      <w:r w:rsidR="00E54DFE">
        <w:rPr>
          <w:noProof/>
        </w:rPr>
        <w:t>.</w:t>
      </w:r>
      <w:r w:rsidRPr="00554145">
        <w:t xml:space="preserve"> </w:t>
      </w:r>
      <w:r w:rsidRPr="00490ABA">
        <w:t>Odsetek organizacji pozarządowych zgłaszających występowanie problemów i barier w prowadzonej działalności wedłu</w:t>
      </w:r>
      <w:r>
        <w:t>g rodzaju organizacji w 2014 r.,</w:t>
      </w:r>
      <w:r w:rsidRPr="00490ABA">
        <w:t xml:space="preserve"> </w:t>
      </w:r>
      <w:r>
        <w:t>ź</w:t>
      </w:r>
      <w:r w:rsidRPr="00490ABA">
        <w:t>ródło: Sektor non-profit w 2014 r., GUS 2016</w:t>
      </w:r>
      <w:bookmarkEnd w:id="13"/>
    </w:p>
    <w:p w14:paraId="28EF9F9F" w14:textId="37D47F59" w:rsidR="000B21A6" w:rsidRPr="000B21A6" w:rsidRDefault="000B21A6" w:rsidP="000B21A6">
      <w:r>
        <w:rPr>
          <w:noProof/>
          <w:lang w:eastAsia="pl-PL"/>
        </w:rPr>
        <w:drawing>
          <wp:inline distT="0" distB="0" distL="0" distR="0" wp14:anchorId="6E264DA0" wp14:editId="00C3E0DA">
            <wp:extent cx="5759450" cy="5114925"/>
            <wp:effectExtent l="0" t="0" r="0" b="0"/>
            <wp:docPr id="26" name="Wykres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D5E5EE" w14:textId="063F4AEC" w:rsidR="0087325D" w:rsidRDefault="00490ABA" w:rsidP="00490ABA">
      <w:r w:rsidRPr="00490ABA">
        <w:t xml:space="preserve">Najczęściej wykazywaną w badaniach GUS barierą w działalności były trudności w pozyskiwaniu środków finansowych – zadeklarowało ją 42% podmiotów. Następnymi w skali występowania były niewystarczająca liczba chętnych do pracy społecznej, </w:t>
      </w:r>
      <w:r w:rsidR="00554145">
        <w:t xml:space="preserve">zgłaszana przez niemal co trzecią organizację oraz kolejno: 24% – </w:t>
      </w:r>
      <w:r w:rsidRPr="00490ABA">
        <w:t xml:space="preserve">trudności związane z przepisami i procedurami prawnymi, </w:t>
      </w:r>
      <w:r w:rsidR="00554145">
        <w:br/>
      </w:r>
      <w:r w:rsidRPr="00490ABA">
        <w:t>19%</w:t>
      </w:r>
      <w:r w:rsidR="00554145">
        <w:t xml:space="preserve"> – </w:t>
      </w:r>
      <w:r w:rsidRPr="00490ABA">
        <w:t xml:space="preserve">bariery prawno-administracyjne w kontaktach z administracją, </w:t>
      </w:r>
      <w:r w:rsidR="00554145">
        <w:t xml:space="preserve">15% – </w:t>
      </w:r>
      <w:r w:rsidRPr="00490ABA">
        <w:t xml:space="preserve">niewystarczające wsparcie i zainteresowanie społeczne, 13% problemy wewnętrzne samych organizacji, </w:t>
      </w:r>
      <w:r w:rsidR="008D3D07">
        <w:br/>
      </w:r>
      <w:r w:rsidRPr="00490ABA">
        <w:t xml:space="preserve">7% trudności we współpracy z innymi organizacjami i </w:t>
      </w:r>
      <w:r w:rsidR="00967C98">
        <w:t xml:space="preserve">po 5% – </w:t>
      </w:r>
      <w:r w:rsidRPr="00490ABA">
        <w:t xml:space="preserve">braki </w:t>
      </w:r>
      <w:r w:rsidR="00E61782">
        <w:t xml:space="preserve">kadrowe </w:t>
      </w:r>
      <w:r w:rsidRPr="00490ABA">
        <w:t>lub słabość kadry pracowniczej</w:t>
      </w:r>
      <w:r w:rsidR="00967C98">
        <w:t xml:space="preserve"> oraz trudności w kontaktach z mediami</w:t>
      </w:r>
      <w:r w:rsidRPr="00490ABA">
        <w:t>.</w:t>
      </w:r>
    </w:p>
    <w:p w14:paraId="53E5555D" w14:textId="77777777" w:rsidR="0087325D" w:rsidRDefault="0087325D">
      <w:pPr>
        <w:spacing w:after="160" w:line="259" w:lineRule="auto"/>
        <w:jc w:val="left"/>
      </w:pPr>
      <w:r>
        <w:lastRenderedPageBreak/>
        <w:br w:type="page"/>
      </w:r>
    </w:p>
    <w:p w14:paraId="235604EA" w14:textId="54749EF3" w:rsidR="00967C98" w:rsidRDefault="00967C98" w:rsidP="00967C98">
      <w:pPr>
        <w:pStyle w:val="Legenda"/>
        <w:keepNext/>
      </w:pPr>
      <w:bookmarkStart w:id="14" w:name="_Toc511125930"/>
      <w:r>
        <w:lastRenderedPageBreak/>
        <w:t xml:space="preserve">Wykres </w:t>
      </w:r>
      <w:r w:rsidR="00876468">
        <w:fldChar w:fldCharType="begin"/>
      </w:r>
      <w:r w:rsidR="00876468">
        <w:instrText xml:space="preserve"> SEQ Wykres \* ARABIC </w:instrText>
      </w:r>
      <w:r w:rsidR="00876468">
        <w:fldChar w:fldCharType="separate"/>
      </w:r>
      <w:r w:rsidR="00E74C5A">
        <w:rPr>
          <w:noProof/>
        </w:rPr>
        <w:t>2</w:t>
      </w:r>
      <w:r w:rsidR="00876468">
        <w:rPr>
          <w:noProof/>
        </w:rPr>
        <w:fldChar w:fldCharType="end"/>
      </w:r>
      <w:r w:rsidR="00E54DFE">
        <w:rPr>
          <w:noProof/>
        </w:rPr>
        <w:t>.</w:t>
      </w:r>
      <w:r w:rsidRPr="00967C98">
        <w:t xml:space="preserve"> </w:t>
      </w:r>
      <w:r w:rsidRPr="00490ABA">
        <w:t>Odsetek organizacji pozarządowych według rodzaju zgłaszanych barier i problemów w prowadzeniu działalności w</w:t>
      </w:r>
      <w:r>
        <w:t> </w:t>
      </w:r>
      <w:r w:rsidRPr="00490ABA">
        <w:t xml:space="preserve">roku 2014, </w:t>
      </w:r>
      <w:r>
        <w:t>ź</w:t>
      </w:r>
      <w:r w:rsidRPr="00490ABA">
        <w:t>ródło: Sektor non-profit w 2014 r., GUS 2016</w:t>
      </w:r>
      <w:bookmarkEnd w:id="14"/>
    </w:p>
    <w:p w14:paraId="14FDB997" w14:textId="43AF128F" w:rsidR="00387386" w:rsidRDefault="0087325D" w:rsidP="00490ABA">
      <w:r>
        <w:rPr>
          <w:noProof/>
          <w:lang w:eastAsia="pl-PL"/>
        </w:rPr>
        <w:drawing>
          <wp:inline distT="0" distB="0" distL="0" distR="0" wp14:anchorId="2E67DB01" wp14:editId="6E5051A9">
            <wp:extent cx="5759450" cy="3133725"/>
            <wp:effectExtent l="0" t="0" r="0"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C58249" w14:textId="6570CFFC" w:rsidR="00490ABA" w:rsidRDefault="00490ABA" w:rsidP="00490ABA">
      <w:r w:rsidRPr="00490ABA">
        <w:t>Analogiczną strukturę barier i problemów sektora potwierdzają wyniki podobnych badań przeprowadzonych rok później przez Stowarzyszenie KLON/</w:t>
      </w:r>
      <w:r w:rsidR="00C2254E">
        <w:t>JAWOR</w:t>
      </w:r>
      <w:r w:rsidRPr="00490ABA">
        <w:t xml:space="preserve">. Trudności związane </w:t>
      </w:r>
      <w:r w:rsidR="00C2254E">
        <w:br/>
      </w:r>
      <w:r w:rsidRPr="00490ABA">
        <w:t xml:space="preserve">z zapewnieniem materialnego funkcjonowania organizacji oraz pozyskiwaniem i rozliczaniem środków to według tych badań największe bolączki sektora pozarządowego w Polsce. </w:t>
      </w:r>
      <w:r w:rsidR="00967C98">
        <w:t>Problemów</w:t>
      </w:r>
      <w:r w:rsidRPr="00490ABA">
        <w:t xml:space="preserve"> w </w:t>
      </w:r>
      <w:r w:rsidR="00967C98">
        <w:t xml:space="preserve">zakresie </w:t>
      </w:r>
      <w:r w:rsidRPr="00490ABA">
        <w:t>zdo</w:t>
      </w:r>
      <w:r w:rsidR="00967C98">
        <w:t>bywania</w:t>
      </w:r>
      <w:r w:rsidRPr="00490ABA">
        <w:t xml:space="preserve"> funduszy lub sprzętu niezbędnego do pro</w:t>
      </w:r>
      <w:r w:rsidR="00967C98">
        <w:t>wadzenia działalności doświadcza</w:t>
      </w:r>
      <w:r w:rsidRPr="00490ABA">
        <w:t xml:space="preserve">ło 65% organizacji. Z kolei 60% organizacji jako </w:t>
      </w:r>
      <w:r w:rsidR="00E61782">
        <w:t xml:space="preserve">uciążliwość </w:t>
      </w:r>
      <w:r w:rsidRPr="00490ABA">
        <w:t xml:space="preserve">odczuwa nadmierne skomplikowanie formalności związanych z korzystaniem ze środków </w:t>
      </w:r>
      <w:proofErr w:type="spellStart"/>
      <w:r w:rsidRPr="00490ABA">
        <w:t>grantodawców</w:t>
      </w:r>
      <w:proofErr w:type="spellEnd"/>
      <w:r w:rsidRPr="00490ABA">
        <w:t>, sponsorów lub z funduszy Unii Europejskiej. Wysoki jest odsetek organizacji</w:t>
      </w:r>
      <w:r w:rsidR="00E61782">
        <w:t>, które doświadczają nadmiernej</w:t>
      </w:r>
      <w:r w:rsidRPr="00490ABA">
        <w:t xml:space="preserve"> </w:t>
      </w:r>
      <w:r w:rsidR="00E61782">
        <w:t>biurokratyzacji</w:t>
      </w:r>
      <w:r w:rsidRPr="00490ABA">
        <w:t xml:space="preserve"> oraz </w:t>
      </w:r>
      <w:r w:rsidR="00E61782">
        <w:t xml:space="preserve">braku przejrzystości </w:t>
      </w:r>
      <w:r w:rsidRPr="00490ABA">
        <w:t xml:space="preserve">reguł współpracy organizacji pozarządowych z administracją publiczną – wskazywało na to odpowiednio 56% oraz 34% organizacji. Problemem, który coraz częściej </w:t>
      </w:r>
      <w:r w:rsidR="00E61782">
        <w:t>odnotowują stowarzyszenia i fundacje</w:t>
      </w:r>
      <w:r w:rsidRPr="00490ABA">
        <w:t xml:space="preserve">, </w:t>
      </w:r>
      <w:r w:rsidR="00E84E00">
        <w:br/>
      </w:r>
      <w:r w:rsidRPr="00490ABA">
        <w:t xml:space="preserve">są </w:t>
      </w:r>
      <w:r w:rsidR="00E61782">
        <w:t>niedobory kadrowe</w:t>
      </w:r>
      <w:r w:rsidRPr="00490ABA">
        <w:t xml:space="preserve"> (członkowie organizacji, pracownicy, wolontariusze). </w:t>
      </w:r>
      <w:r w:rsidR="00967C98">
        <w:t>Ponad połowa</w:t>
      </w:r>
      <w:r w:rsidRPr="00490ABA">
        <w:t xml:space="preserve"> organizacji odczuwa brak osób gotowych do bezinteresownego angażowania się </w:t>
      </w:r>
      <w:r w:rsidR="00E84E00">
        <w:br/>
      </w:r>
      <w:r w:rsidRPr="00490ABA">
        <w:t xml:space="preserve">w </w:t>
      </w:r>
      <w:r w:rsidR="00C2254E">
        <w:t xml:space="preserve">podejmowane przez nie </w:t>
      </w:r>
      <w:r w:rsidR="00967C98">
        <w:t xml:space="preserve">działania, </w:t>
      </w:r>
      <w:r w:rsidRPr="00490ABA">
        <w:t xml:space="preserve">37% organizacji trudno utrzymać personel i wolontariuszy, a niewiele mniej (36%) ma problem ze znużeniem i wypaleniem liderów. Wysoki odsetek </w:t>
      </w:r>
      <w:r w:rsidR="00967C98">
        <w:t>wskazań dotyczył również takich barier i problemów</w:t>
      </w:r>
      <w:r w:rsidRPr="00490ABA">
        <w:t xml:space="preserve"> jak: brak</w:t>
      </w:r>
      <w:r w:rsidR="00295AAD">
        <w:t>u</w:t>
      </w:r>
      <w:r w:rsidRPr="00490ABA">
        <w:t xml:space="preserve"> dost</w:t>
      </w:r>
      <w:r w:rsidR="00295AAD">
        <w:t>ępu do lokalu (29%), konkurencji i rywalizacji</w:t>
      </w:r>
      <w:r w:rsidRPr="00490ABA">
        <w:t xml:space="preserve"> miedzy organizacjami po</w:t>
      </w:r>
      <w:r w:rsidR="00295AAD">
        <w:t>zarządowymi (29%) czy konfliktów</w:t>
      </w:r>
      <w:r w:rsidRPr="00490ABA">
        <w:t xml:space="preserve"> i brak</w:t>
      </w:r>
      <w:r w:rsidR="00295AAD">
        <w:t>u</w:t>
      </w:r>
      <w:r w:rsidRPr="00490ABA">
        <w:t xml:space="preserve"> współpracy (22%).</w:t>
      </w:r>
    </w:p>
    <w:p w14:paraId="3DEB8B8F" w14:textId="3DA8BED0" w:rsidR="00387386" w:rsidRDefault="005E1968" w:rsidP="005E1968">
      <w:pPr>
        <w:pStyle w:val="Legenda"/>
      </w:pPr>
      <w:r>
        <w:rPr>
          <w:noProof/>
          <w:lang w:eastAsia="pl-PL"/>
        </w:rPr>
        <w:lastRenderedPageBreak/>
        <w:drawing>
          <wp:anchor distT="0" distB="0" distL="114300" distR="114300" simplePos="0" relativeHeight="251658240" behindDoc="0" locked="0" layoutInCell="1" allowOverlap="1" wp14:anchorId="7CFC956E" wp14:editId="320E3DE9">
            <wp:simplePos x="0" y="0"/>
            <wp:positionH relativeFrom="margin">
              <wp:posOffset>-710565</wp:posOffset>
            </wp:positionH>
            <wp:positionV relativeFrom="paragraph">
              <wp:posOffset>515615</wp:posOffset>
            </wp:positionV>
            <wp:extent cx="8191500" cy="6362700"/>
            <wp:effectExtent l="0" t="0" r="0" b="0"/>
            <wp:wrapNone/>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Pr>
          <w:noProof/>
          <w:lang w:eastAsia="pl-PL"/>
        </w:rPr>
        <mc:AlternateContent>
          <mc:Choice Requires="wps">
            <w:drawing>
              <wp:anchor distT="0" distB="0" distL="114300" distR="114300" simplePos="0" relativeHeight="251662336" behindDoc="0" locked="0" layoutInCell="1" allowOverlap="1" wp14:anchorId="4940BFC0" wp14:editId="792CDD3B">
                <wp:simplePos x="0" y="0"/>
                <wp:positionH relativeFrom="margin">
                  <wp:align>right</wp:align>
                </wp:positionH>
                <wp:positionV relativeFrom="paragraph">
                  <wp:posOffset>420</wp:posOffset>
                </wp:positionV>
                <wp:extent cx="5760000" cy="457200"/>
                <wp:effectExtent l="0" t="0" r="0" b="6985"/>
                <wp:wrapTopAndBottom/>
                <wp:docPr id="3" name="Pole tekstowe 3"/>
                <wp:cNvGraphicFramePr/>
                <a:graphic xmlns:a="http://schemas.openxmlformats.org/drawingml/2006/main">
                  <a:graphicData uri="http://schemas.microsoft.com/office/word/2010/wordprocessingShape">
                    <wps:wsp>
                      <wps:cNvSpPr txBox="1"/>
                      <wps:spPr>
                        <a:xfrm>
                          <a:off x="0" y="0"/>
                          <a:ext cx="5760000" cy="457200"/>
                        </a:xfrm>
                        <a:prstGeom prst="rect">
                          <a:avLst/>
                        </a:prstGeom>
                        <a:solidFill>
                          <a:prstClr val="white"/>
                        </a:solidFill>
                        <a:ln>
                          <a:noFill/>
                        </a:ln>
                      </wps:spPr>
                      <wps:txbx>
                        <w:txbxContent>
                          <w:p w14:paraId="611FCEF5" w14:textId="28704991" w:rsidR="00814873" w:rsidRPr="0053562F" w:rsidRDefault="00814873" w:rsidP="005E1968">
                            <w:pPr>
                              <w:pStyle w:val="Legenda"/>
                              <w:rPr>
                                <w:noProof/>
                                <w:sz w:val="24"/>
                              </w:rPr>
                            </w:pPr>
                            <w:bookmarkStart w:id="15" w:name="_Toc511125931"/>
                            <w:r>
                              <w:t xml:space="preserve">Wykres </w:t>
                            </w:r>
                            <w:r w:rsidR="00876468">
                              <w:fldChar w:fldCharType="begin"/>
                            </w:r>
                            <w:r w:rsidR="00876468">
                              <w:instrText xml:space="preserve"> SEQ Wykres \* ARABIC </w:instrText>
                            </w:r>
                            <w:r w:rsidR="00876468">
                              <w:fldChar w:fldCharType="separate"/>
                            </w:r>
                            <w:r w:rsidR="00E74C5A">
                              <w:rPr>
                                <w:noProof/>
                              </w:rPr>
                              <w:t>3</w:t>
                            </w:r>
                            <w:r w:rsidR="00876468">
                              <w:rPr>
                                <w:noProof/>
                              </w:rPr>
                              <w:fldChar w:fldCharType="end"/>
                            </w:r>
                            <w:r>
                              <w:rPr>
                                <w:noProof/>
                              </w:rPr>
                              <w:t>.</w:t>
                            </w:r>
                            <w:r>
                              <w:t xml:space="preserve"> </w:t>
                            </w:r>
                            <w:r w:rsidRPr="00490ABA">
                              <w:t>Odsetek organizacji pozarządowych według rodzaju zgłaszanych barier i problemów w prowadzeniu dz</w:t>
                            </w:r>
                            <w:r>
                              <w:t>iałalności w latach 2010-2015, ź</w:t>
                            </w:r>
                            <w:r w:rsidRPr="00490ABA">
                              <w:t>ródło: Kondycja sektora organizacji pozarządowych w Polsce 2015. Raport z badań, KLON/JAWOR 2016</w:t>
                            </w:r>
                            <w:bookmarkEnd w:id="1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940BFC0" id="_x0000_t202" coordsize="21600,21600" o:spt="202" path="m,l,21600r21600,l21600,xe">
                <v:stroke joinstyle="miter"/>
                <v:path gradientshapeok="t" o:connecttype="rect"/>
              </v:shapetype>
              <v:shape id="Pole tekstowe 3" o:spid="_x0000_s1026" type="#_x0000_t202" style="position:absolute;left:0;text-align:left;margin-left:402.35pt;margin-top:.05pt;width:453.55pt;height:36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" stroked="f">
                <v:textbox inset="0,0,0,0">
                  <w:txbxContent>
                    <w:p w14:paraId="611FCEF5" w14:textId="28704991" w:rsidR="00814873" w:rsidRPr="0053562F" w:rsidRDefault="00814873" w:rsidP="005E1968">
                      <w:pPr>
                        <w:pStyle w:val="Legenda"/>
                        <w:rPr>
                          <w:noProof/>
                          <w:sz w:val="24"/>
                        </w:rPr>
                      </w:pPr>
                      <w:bookmarkStart w:id="16" w:name="_Toc511125931"/>
                      <w:r>
                        <w:t xml:space="preserve">Wykres </w:t>
                      </w:r>
                      <w:r w:rsidR="00292610">
                        <w:fldChar w:fldCharType="begin"/>
                      </w:r>
                      <w:r w:rsidR="00292610">
                        <w:instrText xml:space="preserve"> SEQ Wykres \* ARABIC </w:instrText>
                      </w:r>
                      <w:r w:rsidR="00292610">
                        <w:fldChar w:fldCharType="separate"/>
                      </w:r>
                      <w:r w:rsidR="00E74C5A">
                        <w:rPr>
                          <w:noProof/>
                        </w:rPr>
                        <w:t>3</w:t>
                      </w:r>
                      <w:r w:rsidR="00292610">
                        <w:rPr>
                          <w:noProof/>
                        </w:rPr>
                        <w:fldChar w:fldCharType="end"/>
                      </w:r>
                      <w:r>
                        <w:rPr>
                          <w:noProof/>
                        </w:rPr>
                        <w:t>.</w:t>
                      </w:r>
                      <w:r>
                        <w:t xml:space="preserve"> </w:t>
                      </w:r>
                      <w:r w:rsidRPr="00490ABA">
                        <w:t>Odsetek organizacji pozarządowych według rodzaju zgłaszanych barier i problemów w prowadzeniu dz</w:t>
                      </w:r>
                      <w:r>
                        <w:t>iałalności w latach 2010-2015, ź</w:t>
                      </w:r>
                      <w:r w:rsidRPr="00490ABA">
                        <w:t>ródło: Kondycja sektora organizacji pozarządowych w Polsce 2015. Raport z badań, KLON/JAWOR 2016</w:t>
                      </w:r>
                      <w:bookmarkEnd w:id="16"/>
                    </w:p>
                  </w:txbxContent>
                </v:textbox>
                <w10:wrap type="topAndBottom" anchorx="margin"/>
              </v:shape>
            </w:pict>
          </mc:Fallback>
        </mc:AlternateContent>
      </w:r>
    </w:p>
    <w:p w14:paraId="6BFFD141" w14:textId="57A21CF4" w:rsidR="0012652B" w:rsidRDefault="0012652B" w:rsidP="00490ABA"/>
    <w:p w14:paraId="61B37198" w14:textId="77777777" w:rsidR="0012652B" w:rsidRDefault="0012652B" w:rsidP="00490ABA"/>
    <w:p w14:paraId="1F7B2C99" w14:textId="77777777" w:rsidR="0012652B" w:rsidRDefault="0012652B" w:rsidP="00490ABA"/>
    <w:p w14:paraId="568FDB4D" w14:textId="77777777" w:rsidR="0012652B" w:rsidRDefault="0012652B" w:rsidP="00490ABA"/>
    <w:p w14:paraId="0D03DEA1" w14:textId="77777777" w:rsidR="0012652B" w:rsidRDefault="0012652B" w:rsidP="00490ABA"/>
    <w:p w14:paraId="19BD2F7D" w14:textId="77777777" w:rsidR="0012652B" w:rsidRDefault="0012652B" w:rsidP="00490ABA"/>
    <w:p w14:paraId="5660B1AE" w14:textId="77777777" w:rsidR="0012652B" w:rsidRDefault="0012652B" w:rsidP="00490ABA"/>
    <w:p w14:paraId="14CBE68F" w14:textId="77777777" w:rsidR="0012652B" w:rsidRDefault="0012652B" w:rsidP="00490ABA"/>
    <w:p w14:paraId="492E1BA8" w14:textId="77777777" w:rsidR="0012652B" w:rsidRDefault="0012652B" w:rsidP="00490ABA"/>
    <w:p w14:paraId="11ADA112" w14:textId="77777777" w:rsidR="0012652B" w:rsidRDefault="0012652B" w:rsidP="00490ABA"/>
    <w:p w14:paraId="66D5F439" w14:textId="77777777" w:rsidR="0012652B" w:rsidRDefault="0012652B" w:rsidP="00490ABA"/>
    <w:p w14:paraId="6150C5F2" w14:textId="77777777" w:rsidR="0012652B" w:rsidRDefault="0012652B" w:rsidP="00490ABA"/>
    <w:p w14:paraId="4D239FF0" w14:textId="77777777" w:rsidR="0012652B" w:rsidRDefault="0012652B" w:rsidP="00490ABA"/>
    <w:p w14:paraId="3CE10770" w14:textId="77777777" w:rsidR="0012652B" w:rsidRDefault="0012652B" w:rsidP="00490ABA"/>
    <w:p w14:paraId="21ADDC32" w14:textId="77777777" w:rsidR="0012652B" w:rsidRDefault="0012652B" w:rsidP="00490ABA"/>
    <w:p w14:paraId="7DD4EAB8" w14:textId="77777777" w:rsidR="0012652B" w:rsidRDefault="0012652B" w:rsidP="00490ABA"/>
    <w:p w14:paraId="0659BEF9" w14:textId="77777777" w:rsidR="0012652B" w:rsidRDefault="0012652B" w:rsidP="00490ABA"/>
    <w:p w14:paraId="6E14E9A3" w14:textId="77777777" w:rsidR="0012652B" w:rsidRDefault="0012652B" w:rsidP="00490ABA"/>
    <w:p w14:paraId="1055B33C" w14:textId="551A24C8" w:rsidR="00490ABA" w:rsidRDefault="00490ABA" w:rsidP="00490ABA">
      <w:r w:rsidRPr="00490ABA">
        <w:t xml:space="preserve">Co istotne, odsetek organizacji pozarządowych deklarujących </w:t>
      </w:r>
      <w:r w:rsidR="00E84E00">
        <w:t>napotykanie poszczególnych typów</w:t>
      </w:r>
      <w:r w:rsidRPr="00490ABA">
        <w:t xml:space="preserve"> barier </w:t>
      </w:r>
      <w:r w:rsidR="00E84E00">
        <w:t xml:space="preserve">oraz </w:t>
      </w:r>
      <w:r w:rsidRPr="00490ABA">
        <w:t xml:space="preserve">problemów w rozwoju i działaniu, jak potwierdzają zgodnie badania GUS </w:t>
      </w:r>
      <w:r w:rsidR="00E54DFE">
        <w:br/>
      </w:r>
      <w:r w:rsidRPr="00490ABA">
        <w:t>i KLON/JAWOR, nie zmniejsza się od 2010</w:t>
      </w:r>
      <w:r w:rsidR="00295AAD">
        <w:t xml:space="preserve"> roku</w:t>
      </w:r>
      <w:r w:rsidRPr="00490ABA">
        <w:t>, a dla wielu kategorii wartości liczbowe</w:t>
      </w:r>
      <w:r w:rsidR="00E84E00">
        <w:t xml:space="preserve"> wzrosły</w:t>
      </w:r>
      <w:r w:rsidR="00C04584">
        <w:t>. O</w:t>
      </w:r>
      <w:r w:rsidR="00295AAD">
        <w:t xml:space="preserve">znacza </w:t>
      </w:r>
      <w:r w:rsidR="00C04584">
        <w:t xml:space="preserve">to </w:t>
      </w:r>
      <w:r w:rsidR="00295AAD">
        <w:t>nasilanie się oraz</w:t>
      </w:r>
      <w:r w:rsidRPr="00490ABA">
        <w:t xml:space="preserve"> utrwalanie uciążliwych zjawisk i mechanizmów </w:t>
      </w:r>
      <w:r w:rsidR="00C04584">
        <w:t xml:space="preserve">utrudniających, </w:t>
      </w:r>
      <w:r w:rsidR="00E54DFE">
        <w:br/>
      </w:r>
      <w:r w:rsidR="00C04584">
        <w:t>a nawet uniemożliwiających</w:t>
      </w:r>
      <w:r w:rsidRPr="00490ABA">
        <w:t xml:space="preserve"> rozwój sektora. </w:t>
      </w:r>
      <w:r w:rsidR="00295AAD">
        <w:t xml:space="preserve">Połowa organizacji nie zauważa żadnych zmian </w:t>
      </w:r>
      <w:r w:rsidR="00E54DFE">
        <w:br/>
      </w:r>
      <w:r w:rsidR="00295AAD">
        <w:lastRenderedPageBreak/>
        <w:t xml:space="preserve">w warunkach </w:t>
      </w:r>
      <w:r w:rsidR="005E1968">
        <w:t>dla prowadzonej działalności</w:t>
      </w:r>
      <w:r w:rsidR="00295AAD">
        <w:t xml:space="preserve"> w ostatnim roku </w:t>
      </w:r>
      <w:r w:rsidRPr="00490ABA">
        <w:t xml:space="preserve">w porównaniu </w:t>
      </w:r>
      <w:r w:rsidR="00295AAD">
        <w:t>do lat poprzednich. Znamienne jest</w:t>
      </w:r>
      <w:r w:rsidR="00C04584">
        <w:t xml:space="preserve"> to</w:t>
      </w:r>
      <w:r w:rsidR="00295AAD">
        <w:t xml:space="preserve">, że odsetek ten </w:t>
      </w:r>
      <w:r w:rsidRPr="00490ABA">
        <w:t xml:space="preserve">utrzymuje </w:t>
      </w:r>
      <w:r w:rsidR="00295AAD">
        <w:t xml:space="preserve">się </w:t>
      </w:r>
      <w:r w:rsidRPr="00490ABA">
        <w:t>pomimo wprowadzanych reform. Utrzymuje się również wysoki 1</w:t>
      </w:r>
      <w:r w:rsidR="00295AAD">
        <w:t>8–</w:t>
      </w:r>
      <w:r w:rsidRPr="00490ABA">
        <w:t xml:space="preserve">19% poziom organizacji </w:t>
      </w:r>
      <w:r w:rsidR="00C04584">
        <w:t xml:space="preserve">pozarządowych </w:t>
      </w:r>
      <w:r w:rsidRPr="00490ABA">
        <w:t>uznających obecne warunki funkcjonowania organiza</w:t>
      </w:r>
      <w:r w:rsidR="00C04584">
        <w:t xml:space="preserve">cji pozarządowych jako gorsze, a nawet </w:t>
      </w:r>
      <w:r w:rsidRPr="00490ABA">
        <w:t>pogarszające się.</w:t>
      </w:r>
    </w:p>
    <w:p w14:paraId="47A9003C" w14:textId="65067E11" w:rsidR="005E1968" w:rsidRDefault="005E1968" w:rsidP="005E1968">
      <w:pPr>
        <w:pStyle w:val="Legenda"/>
        <w:keepNext/>
      </w:pPr>
      <w:bookmarkStart w:id="16" w:name="_Toc511125932"/>
      <w:r>
        <w:t xml:space="preserve">Wykres </w:t>
      </w:r>
      <w:r w:rsidR="00876468">
        <w:fldChar w:fldCharType="begin"/>
      </w:r>
      <w:r w:rsidR="00876468">
        <w:instrText xml:space="preserve"> SEQ Wykres \* ARABIC </w:instrText>
      </w:r>
      <w:r w:rsidR="00876468">
        <w:fldChar w:fldCharType="separate"/>
      </w:r>
      <w:r w:rsidR="00E74C5A">
        <w:rPr>
          <w:noProof/>
        </w:rPr>
        <w:t>4</w:t>
      </w:r>
      <w:r w:rsidR="00876468">
        <w:rPr>
          <w:noProof/>
        </w:rPr>
        <w:fldChar w:fldCharType="end"/>
      </w:r>
      <w:r w:rsidR="00E54DFE">
        <w:rPr>
          <w:noProof/>
        </w:rPr>
        <w:t>.</w:t>
      </w:r>
      <w:r w:rsidRPr="005E1968">
        <w:t xml:space="preserve"> </w:t>
      </w:r>
      <w:r>
        <w:t>Ocena warunków działania organizacji w ostatnim roku w porównaniu z warunkami w poprzednich latach – o</w:t>
      </w:r>
      <w:r w:rsidRPr="00490ABA">
        <w:t xml:space="preserve">pinie liderów w sprawie zmian warunków funkcjonowania organizacji pozarządowych, </w:t>
      </w:r>
      <w:r>
        <w:t>ź</w:t>
      </w:r>
      <w:r w:rsidRPr="00490ABA">
        <w:t>ródło: Kondycja sektora organizacji pozarządowych w Polsce 2015. Raport z badań, KLON/JAWOR 2016</w:t>
      </w:r>
      <w:bookmarkEnd w:id="16"/>
    </w:p>
    <w:p w14:paraId="659B4C4D" w14:textId="5DD946D0" w:rsidR="00C2254E" w:rsidRDefault="005E30E2" w:rsidP="00490ABA">
      <w:r>
        <w:rPr>
          <w:noProof/>
          <w:lang w:eastAsia="pl-PL"/>
        </w:rPr>
        <w:drawing>
          <wp:inline distT="0" distB="0" distL="0" distR="0" wp14:anchorId="737E7D70" wp14:editId="3C1ABE99">
            <wp:extent cx="5759450" cy="3162300"/>
            <wp:effectExtent l="0" t="0" r="0" b="0"/>
            <wp:docPr id="25" name="Wykres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D0325C4" w14:textId="77777777" w:rsidR="00C04584" w:rsidRDefault="00C04584" w:rsidP="00C04584">
      <w:r>
        <w:t xml:space="preserve">W przedstawionym powyżej obrazie struktury barier, problemów i słabości zgłaszanych przez organizacje pozarządowe, zdecydowana większość ma swoje źródło w znaczącym niedofinansowaniu instytucjonalnym. Wzmocnienie tego obszaru w formule przygotowania </w:t>
      </w:r>
      <w:r>
        <w:br/>
        <w:t>i wdrożenia programu wsparcia instytucjonalnego oznacza złagodzenie wielu barier i trudności w funkcjonowaniu i skutecznej działalności organizacji obywatelskich. Wśród najistotniejszych obszarów słabości instytucjonalnej adresowanych w programie wsparcia wyliczyć można:</w:t>
      </w:r>
    </w:p>
    <w:p w14:paraId="3881A9A9" w14:textId="118093EB" w:rsidR="00490ABA" w:rsidRPr="00490ABA" w:rsidRDefault="00490ABA" w:rsidP="00C04584">
      <w:pPr>
        <w:pStyle w:val="Akapitzlist"/>
        <w:numPr>
          <w:ilvl w:val="0"/>
          <w:numId w:val="19"/>
        </w:numPr>
      </w:pPr>
      <w:r w:rsidRPr="00490ABA">
        <w:t>trudności w pozys</w:t>
      </w:r>
      <w:r w:rsidR="00C04584">
        <w:t xml:space="preserve">kiwaniu </w:t>
      </w:r>
      <w:r w:rsidRPr="00490ABA">
        <w:t>środków, brak stabilności finansowej, rozwarstwienie ekonomiczne (</w:t>
      </w:r>
      <w:proofErr w:type="spellStart"/>
      <w:r w:rsidRPr="00490ABA">
        <w:t>oligarchizacja</w:t>
      </w:r>
      <w:proofErr w:type="spellEnd"/>
      <w:r w:rsidRPr="00490ABA">
        <w:t>) i małe zróżnicowanie przychodów (</w:t>
      </w:r>
      <w:r w:rsidR="005E1968">
        <w:t xml:space="preserve">tzw. </w:t>
      </w:r>
      <w:proofErr w:type="spellStart"/>
      <w:r w:rsidRPr="00490ABA">
        <w:t>grantoza</w:t>
      </w:r>
      <w:proofErr w:type="spellEnd"/>
      <w:r w:rsidRPr="00490ABA">
        <w:t xml:space="preserve">), </w:t>
      </w:r>
      <w:r w:rsidR="00C04584">
        <w:t xml:space="preserve">niewystarczający </w:t>
      </w:r>
      <w:r w:rsidRPr="00490ABA">
        <w:t>potencjał organizacyjny (trudności lokalowe, brak narzędzi i majątku)</w:t>
      </w:r>
      <w:r w:rsidR="00C2254E">
        <w:t>,</w:t>
      </w:r>
    </w:p>
    <w:p w14:paraId="6156850B" w14:textId="2B2320FE" w:rsidR="00490ABA" w:rsidRPr="00490ABA" w:rsidRDefault="00490ABA" w:rsidP="00C2254E">
      <w:pPr>
        <w:pStyle w:val="Akapitzlist"/>
        <w:numPr>
          <w:ilvl w:val="0"/>
          <w:numId w:val="19"/>
        </w:numPr>
      </w:pPr>
      <w:r w:rsidRPr="00490ABA">
        <w:lastRenderedPageBreak/>
        <w:t>braki i słabości kadrowe w zakresie bazy członkowsk</w:t>
      </w:r>
      <w:r w:rsidR="005C5A81">
        <w:t xml:space="preserve">iej, pracowniczej i </w:t>
      </w:r>
      <w:proofErr w:type="spellStart"/>
      <w:r w:rsidR="005C5A81">
        <w:t>wolontariackiej</w:t>
      </w:r>
      <w:proofErr w:type="spellEnd"/>
      <w:r w:rsidR="005C5A81">
        <w:t>, a</w:t>
      </w:r>
      <w:r w:rsidRPr="00490ABA">
        <w:t xml:space="preserve"> </w:t>
      </w:r>
      <w:r w:rsidR="005C5A81">
        <w:t xml:space="preserve">także </w:t>
      </w:r>
      <w:r w:rsidRPr="00490ABA">
        <w:t>rozwarstwieni</w:t>
      </w:r>
      <w:r w:rsidR="00C2254E">
        <w:t>e sektora w sferze zatrudnienia,</w:t>
      </w:r>
    </w:p>
    <w:p w14:paraId="4F3AF03B" w14:textId="77777777" w:rsidR="00490ABA" w:rsidRPr="00490ABA" w:rsidRDefault="00490ABA" w:rsidP="00C2254E">
      <w:pPr>
        <w:pStyle w:val="Akapitzlist"/>
        <w:numPr>
          <w:ilvl w:val="0"/>
          <w:numId w:val="19"/>
        </w:numPr>
      </w:pPr>
      <w:r w:rsidRPr="00490ABA">
        <w:t>brak współpracy, konflikty i rywalizacja wewnątrz sektora</w:t>
      </w:r>
      <w:r w:rsidR="00C2254E">
        <w:t>,</w:t>
      </w:r>
    </w:p>
    <w:p w14:paraId="231EDD3B" w14:textId="77777777" w:rsidR="00490ABA" w:rsidRPr="00490ABA" w:rsidRDefault="00490ABA" w:rsidP="00C2254E">
      <w:pPr>
        <w:pStyle w:val="Akapitzlist"/>
        <w:numPr>
          <w:ilvl w:val="0"/>
          <w:numId w:val="19"/>
        </w:numPr>
      </w:pPr>
      <w:r w:rsidRPr="00490ABA">
        <w:t>brak dostępu do instytucji dialogu obywatelskiego i niewłaściwe ich funkcjonowanie.</w:t>
      </w:r>
    </w:p>
    <w:p w14:paraId="7219D315" w14:textId="77777777" w:rsidR="00490ABA" w:rsidRPr="00490ABA" w:rsidRDefault="00C1545F" w:rsidP="00C1545F">
      <w:pPr>
        <w:pStyle w:val="Nagwek2"/>
      </w:pPr>
      <w:bookmarkStart w:id="17" w:name="_Toc508718528"/>
      <w:r>
        <w:t>2.2</w:t>
      </w:r>
      <w:r w:rsidR="00C2254E">
        <w:t xml:space="preserve">. </w:t>
      </w:r>
      <w:r w:rsidR="00490ABA" w:rsidRPr="00490ABA">
        <w:t xml:space="preserve">Trudności w pozyskiwaniu środków, brak stabilności finansowej, rozwarstwienie ekonomiczne i małe </w:t>
      </w:r>
      <w:r w:rsidR="00490ABA" w:rsidRPr="00C2254E">
        <w:t>zróżnicowanie</w:t>
      </w:r>
      <w:r w:rsidR="00490ABA" w:rsidRPr="00490ABA">
        <w:t xml:space="preserve"> przychodów</w:t>
      </w:r>
      <w:bookmarkEnd w:id="17"/>
    </w:p>
    <w:p w14:paraId="63C3C4BD" w14:textId="76C1DE75" w:rsidR="00490ABA" w:rsidRPr="00490ABA" w:rsidRDefault="00C04584" w:rsidP="00490ABA">
      <w:r>
        <w:t xml:space="preserve">Brak środków i brak stabilności finansowej przekłada się bezpośrednio na brak potencjału instytucjonalnego, organizacyjnego, kadrowego i narzędziowego, a więc utratę zdolności </w:t>
      </w:r>
      <w:r w:rsidR="00E54DFE">
        <w:br/>
      </w:r>
      <w:r>
        <w:t xml:space="preserve">do realizacji zadań publicznych i niemożność rozwoju organizacji. Odnotowywany w Polsce dynamiczny wzrost ilości organizacji pozarządowych, będący efektem polityki aktywizowania obywateli nie może być wartością autonomiczną, lecz powinien być skorelowany </w:t>
      </w:r>
      <w:r w:rsidR="00E54DFE">
        <w:br/>
      </w:r>
      <w:r>
        <w:t>z uzyskiwaniem przez nie zdolności operacyjnej do skutecznego realizowania zadań wspieranych przecież w dużej mierze ze środków publicznych</w:t>
      </w:r>
      <w:r w:rsidR="00490ABA" w:rsidRPr="00490ABA">
        <w:rPr>
          <w:vertAlign w:val="superscript"/>
        </w:rPr>
        <w:footnoteReference w:id="2"/>
      </w:r>
      <w:r w:rsidR="00490ABA" w:rsidRPr="00490ABA">
        <w:t>.</w:t>
      </w:r>
    </w:p>
    <w:p w14:paraId="685F6717" w14:textId="77777777" w:rsidR="00490ABA" w:rsidRPr="00C2254E" w:rsidRDefault="00490ABA" w:rsidP="00C2254E">
      <w:pPr>
        <w:rPr>
          <w:rStyle w:val="Wyrnienieintensywne"/>
        </w:rPr>
      </w:pPr>
      <w:r w:rsidRPr="00C2254E">
        <w:rPr>
          <w:rStyle w:val="Wyrnienieintensywne"/>
        </w:rPr>
        <w:t>Trudności w pozyskiwaniu środków i niestabilność finansowa</w:t>
      </w:r>
    </w:p>
    <w:p w14:paraId="2F02D4CB" w14:textId="33A51FF4" w:rsidR="00490ABA" w:rsidRPr="00490ABA" w:rsidRDefault="00490ABA" w:rsidP="00490ABA">
      <w:r w:rsidRPr="00490ABA">
        <w:t xml:space="preserve">Badania GUS </w:t>
      </w:r>
      <w:r w:rsidR="00C04584">
        <w:t>określają</w:t>
      </w:r>
      <w:r w:rsidRPr="00490ABA">
        <w:t xml:space="preserve"> średni wskaźnik odsetka organizacji deklarujących trudności finansowe na poziomie 42%, co </w:t>
      </w:r>
      <w:r w:rsidR="00C04584">
        <w:t xml:space="preserve">kategoryzuje </w:t>
      </w:r>
      <w:r w:rsidRPr="00490ABA">
        <w:t xml:space="preserve">sektor obywatelski jako borykający się w wysokim stopniu </w:t>
      </w:r>
      <w:r w:rsidR="007874E1">
        <w:br/>
      </w:r>
      <w:r w:rsidRPr="00490ABA">
        <w:t xml:space="preserve">z problemem niedofinansowania. Najczęściej trudności z pozyskiwaniem środków finansowych wykazywały fundacje (aż 59% </w:t>
      </w:r>
      <w:r w:rsidR="00554B96">
        <w:t>z nich doświadczało problemów w tym</w:t>
      </w:r>
      <w:r w:rsidRPr="00490ABA">
        <w:t xml:space="preserve"> </w:t>
      </w:r>
      <w:r w:rsidR="00554B96">
        <w:t xml:space="preserve">obszarze </w:t>
      </w:r>
      <w:r w:rsidRPr="00490ABA">
        <w:t xml:space="preserve">wobec średniej 42% dla ogółu podmiotów sektora pozarządowego). W stosunku do organizacji ogółem stowarzyszenia i podobne organizacje społeczne także częściej </w:t>
      </w:r>
      <w:r w:rsidR="00C04584">
        <w:t>odnotowywały trudności</w:t>
      </w:r>
      <w:r w:rsidRPr="00490ABA">
        <w:t xml:space="preserve"> </w:t>
      </w:r>
      <w:r w:rsidR="007874E1">
        <w:br/>
      </w:r>
      <w:r w:rsidRPr="00490ABA">
        <w:t>z pozyskaniem środków  finansowych (zgłosiło je 46% stowarzyszeń, wobec 42% dla ogółu innych podmiotów).</w:t>
      </w:r>
    </w:p>
    <w:p w14:paraId="1AAA37C1" w14:textId="30D21D7B" w:rsidR="00490ABA" w:rsidRDefault="00490ABA" w:rsidP="00490ABA">
      <w:r w:rsidRPr="00490ABA">
        <w:t>Brak ciągłości, stabilności i przewidywalności finansowania</w:t>
      </w:r>
      <w:r w:rsidR="009A0AE3">
        <w:t>,</w:t>
      </w:r>
      <w:r w:rsidRPr="00490ABA">
        <w:t xml:space="preserve"> pomimo zauważalnego w ostatnich latach wzrostu przychodów stanowi nadal </w:t>
      </w:r>
      <w:r w:rsidR="00C04584">
        <w:t>obiektywnie istotny</w:t>
      </w:r>
      <w:r w:rsidRPr="00490ABA">
        <w:t xml:space="preserve"> problem. </w:t>
      </w:r>
      <w:r w:rsidR="009A0AE3">
        <w:t>D</w:t>
      </w:r>
      <w:r w:rsidR="009A0AE3" w:rsidRPr="00490ABA">
        <w:t xml:space="preserve">la większości organizacji </w:t>
      </w:r>
      <w:r w:rsidR="009A0AE3">
        <w:t>s</w:t>
      </w:r>
      <w:r w:rsidRPr="00490ABA">
        <w:t xml:space="preserve">tabilne finansowanie działalności w dłuższej perspektywie </w:t>
      </w:r>
      <w:r w:rsidR="007874E1" w:rsidRPr="00490ABA">
        <w:t xml:space="preserve">było </w:t>
      </w:r>
      <w:r w:rsidRPr="00490ABA">
        <w:t xml:space="preserve">poza </w:t>
      </w:r>
      <w:r w:rsidRPr="00490ABA">
        <w:lastRenderedPageBreak/>
        <w:t xml:space="preserve">zasięgiem. </w:t>
      </w:r>
      <w:r w:rsidR="00C04584">
        <w:t>B</w:t>
      </w:r>
      <w:r w:rsidR="00C04584" w:rsidRPr="00490ABA">
        <w:t xml:space="preserve">adanie </w:t>
      </w:r>
      <w:r w:rsidR="00C04584">
        <w:t>p</w:t>
      </w:r>
      <w:r w:rsidRPr="00490ABA">
        <w:t xml:space="preserve">rzeprowadzone przez </w:t>
      </w:r>
      <w:r w:rsidR="00C04584">
        <w:t xml:space="preserve">Stowarzyszenie </w:t>
      </w:r>
      <w:r w:rsidRPr="00490ABA">
        <w:t xml:space="preserve">KLON/JAWOR w marcu 2015 roku wykazało, </w:t>
      </w:r>
      <w:r w:rsidR="00113552">
        <w:br/>
      </w:r>
      <w:r w:rsidRPr="00490ABA">
        <w:t xml:space="preserve">że 51% organizacji miało zapewnioną nie więcej niż połowę środków </w:t>
      </w:r>
      <w:r w:rsidR="00C04584">
        <w:t xml:space="preserve">finansowych </w:t>
      </w:r>
      <w:r w:rsidRPr="00490ABA">
        <w:t xml:space="preserve">koniecznych dla funkcjonowania organizacji w </w:t>
      </w:r>
      <w:r w:rsidR="00C04584">
        <w:t xml:space="preserve">danym </w:t>
      </w:r>
      <w:r w:rsidRPr="00490ABA">
        <w:t xml:space="preserve">roku (tzn. na pozostałe 10 miesięcy), a zaledwie 19% organizacji miało zagwarantowane ponad 75% </w:t>
      </w:r>
      <w:r w:rsidR="00C04584">
        <w:t>rocznego</w:t>
      </w:r>
      <w:r w:rsidRPr="00490ABA">
        <w:t xml:space="preserve"> budżetu. Perspektywa stabilnego </w:t>
      </w:r>
      <w:r w:rsidR="00E54DFE">
        <w:br/>
      </w:r>
      <w:r w:rsidRPr="00490ABA">
        <w:t>i pewnego finansowania na rok następny</w:t>
      </w:r>
      <w:r w:rsidR="009A0AE3">
        <w:t>,</w:t>
      </w:r>
      <w:r w:rsidRPr="00490ABA">
        <w:t xml:space="preserve"> tzn. 2016 była dla zdecydowanej większości organizacji </w:t>
      </w:r>
      <w:r w:rsidR="009A0AE3">
        <w:t>nieosiągalna</w:t>
      </w:r>
      <w:r w:rsidRPr="00490ABA">
        <w:rPr>
          <w:vertAlign w:val="superscript"/>
        </w:rPr>
        <w:footnoteReference w:id="3"/>
      </w:r>
      <w:r w:rsidRPr="00490ABA">
        <w:t xml:space="preserve">. Szczegółowe dane </w:t>
      </w:r>
      <w:r w:rsidR="00684DC6">
        <w:t>dotyczące wyników</w:t>
      </w:r>
      <w:r w:rsidRPr="00490ABA">
        <w:t xml:space="preserve"> badań </w:t>
      </w:r>
      <w:r w:rsidR="00684DC6">
        <w:t>w obszarze</w:t>
      </w:r>
      <w:r w:rsidRPr="00490ABA">
        <w:t xml:space="preserve"> pewności </w:t>
      </w:r>
      <w:r w:rsidR="00E54DFE">
        <w:br/>
      </w:r>
      <w:r w:rsidRPr="00490ABA">
        <w:t xml:space="preserve">i gwarancji finansowania działalności </w:t>
      </w:r>
      <w:r w:rsidR="00684DC6">
        <w:t>prezentuje wykres zamieszczony poniżej.</w:t>
      </w:r>
    </w:p>
    <w:p w14:paraId="5B38D2F5" w14:textId="3CFD0A3C" w:rsidR="005C5A81" w:rsidRDefault="005C5A81" w:rsidP="005C5A81">
      <w:pPr>
        <w:pStyle w:val="Legenda"/>
        <w:keepNext/>
      </w:pPr>
      <w:bookmarkStart w:id="18" w:name="_Toc511125933"/>
      <w:r>
        <w:t xml:space="preserve">Wykres </w:t>
      </w:r>
      <w:r w:rsidR="00876468">
        <w:fldChar w:fldCharType="begin"/>
      </w:r>
      <w:r w:rsidR="00876468">
        <w:instrText xml:space="preserve"> SEQ Wykres \* ARABIC </w:instrText>
      </w:r>
      <w:r w:rsidR="00876468">
        <w:fldChar w:fldCharType="separate"/>
      </w:r>
      <w:r w:rsidR="00E74C5A">
        <w:rPr>
          <w:noProof/>
        </w:rPr>
        <w:t>5</w:t>
      </w:r>
      <w:r w:rsidR="00876468">
        <w:rPr>
          <w:noProof/>
        </w:rPr>
        <w:fldChar w:fldCharType="end"/>
      </w:r>
      <w:r w:rsidR="00E54DFE">
        <w:rPr>
          <w:noProof/>
        </w:rPr>
        <w:t>.</w:t>
      </w:r>
      <w:r w:rsidRPr="005C5A81">
        <w:t xml:space="preserve"> </w:t>
      </w:r>
      <w:r w:rsidRPr="00490ABA">
        <w:t>Odsetek zagwarantowanego budżet</w:t>
      </w:r>
      <w:r>
        <w:t>u organizacji w marcu 2015 r., ź</w:t>
      </w:r>
      <w:r w:rsidRPr="00490ABA">
        <w:t>ródło: Kondycja sektora organizacji pozarządowych w Polsce 2015. Raport z badań, KLON/JAWOR 2016</w:t>
      </w:r>
      <w:bookmarkEnd w:id="18"/>
    </w:p>
    <w:p w14:paraId="4D2D8256" w14:textId="6818FB7C" w:rsidR="00C2254E" w:rsidRDefault="000B21A6" w:rsidP="00490ABA">
      <w:r>
        <w:rPr>
          <w:noProof/>
          <w:lang w:eastAsia="pl-PL"/>
        </w:rPr>
        <w:drawing>
          <wp:inline distT="0" distB="0" distL="0" distR="0" wp14:anchorId="2174A0CF" wp14:editId="20525EF4">
            <wp:extent cx="5759450" cy="2821353"/>
            <wp:effectExtent l="0" t="0" r="0" b="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5EE0924" w14:textId="77777777" w:rsidR="00490ABA" w:rsidRPr="00490ABA" w:rsidRDefault="00490ABA" w:rsidP="00490ABA">
      <w:r w:rsidRPr="00490ABA">
        <w:t xml:space="preserve">Fakt, że organizacje nie są pewne, czy i jakie projekty będą realizować w danym roku budżetowym, ma głębokie konsekwencje dla </w:t>
      </w:r>
      <w:r w:rsidR="00C2254E">
        <w:t xml:space="preserve">systematycznej realizacji strategii </w:t>
      </w:r>
      <w:r w:rsidRPr="00490ABA">
        <w:t xml:space="preserve">rozwoju, zatrudnienia i profesjonalizacji działania w określonym kierunku. Skutkuje to też niemożnością wdrażania </w:t>
      </w:r>
      <w:r w:rsidR="00C2254E">
        <w:t>właściwej polityki zatrudnienia, rozwoju zasobów infrastrukturalnych, budowania trwałych (wykraczających poza pojedyncze konsorcjum) relacji z partnerami.</w:t>
      </w:r>
    </w:p>
    <w:p w14:paraId="77E18A22" w14:textId="77777777" w:rsidR="00490ABA" w:rsidRPr="00C2254E" w:rsidRDefault="00490ABA" w:rsidP="00C2254E">
      <w:pPr>
        <w:rPr>
          <w:rStyle w:val="Wyrnienieintensywne"/>
        </w:rPr>
      </w:pPr>
      <w:r w:rsidRPr="00C2254E">
        <w:rPr>
          <w:rStyle w:val="Wyrnienieintensywne"/>
        </w:rPr>
        <w:t xml:space="preserve">Rozwarstwienie ekonomiczne – </w:t>
      </w:r>
      <w:proofErr w:type="spellStart"/>
      <w:r w:rsidRPr="00C2254E">
        <w:rPr>
          <w:rStyle w:val="Wyrnienieintensywne"/>
        </w:rPr>
        <w:t>oligarchizacja</w:t>
      </w:r>
      <w:proofErr w:type="spellEnd"/>
      <w:r w:rsidRPr="00C2254E">
        <w:rPr>
          <w:rStyle w:val="Wyrnienieintensywne"/>
        </w:rPr>
        <w:t xml:space="preserve"> sektora</w:t>
      </w:r>
    </w:p>
    <w:p w14:paraId="227D3550" w14:textId="08E433FD" w:rsidR="00490ABA" w:rsidRDefault="00490ABA" w:rsidP="00490ABA">
      <w:pPr>
        <w:rPr>
          <w:iCs/>
        </w:rPr>
      </w:pPr>
      <w:r w:rsidRPr="00490ABA">
        <w:rPr>
          <w:iCs/>
        </w:rPr>
        <w:t xml:space="preserve">Charakterystycznym zjawiskiem obrazującym trudności ze zdobywaniem środków w sektorze polskich organizacji pozarządowych jest rozwarstwienie ekonomiczne wśród tworzących go podmiotów. Średnie przychody organizacji w 2014 </w:t>
      </w:r>
      <w:r w:rsidR="009A0AE3" w:rsidRPr="00490ABA">
        <w:rPr>
          <w:iCs/>
        </w:rPr>
        <w:t xml:space="preserve">roku </w:t>
      </w:r>
      <w:r w:rsidRPr="00490ABA">
        <w:rPr>
          <w:iCs/>
        </w:rPr>
        <w:t xml:space="preserve">były aż trzynastokrotnie wyższe niż </w:t>
      </w:r>
      <w:r w:rsidRPr="00490ABA">
        <w:rPr>
          <w:iCs/>
        </w:rPr>
        <w:lastRenderedPageBreak/>
        <w:t>ic</w:t>
      </w:r>
      <w:r w:rsidR="009A0AE3">
        <w:rPr>
          <w:iCs/>
        </w:rPr>
        <w:t>h mediana (która wyniosła 18 tys</w:t>
      </w:r>
      <w:r w:rsidRPr="00490ABA">
        <w:rPr>
          <w:iCs/>
        </w:rPr>
        <w:t xml:space="preserve">. zł), co oznacza </w:t>
      </w:r>
      <w:r w:rsidR="0043302C">
        <w:rPr>
          <w:iCs/>
        </w:rPr>
        <w:t>kumulację znacznej</w:t>
      </w:r>
      <w:r w:rsidRPr="00490ABA">
        <w:rPr>
          <w:iCs/>
        </w:rPr>
        <w:t xml:space="preserve"> ilości środków w rękach wąskiej grupy podmiotów przy równoczesnym bardzo niskim budżecie zdecydowanej większości organizacji. 74% wszystkich zgromadzonych w sektorze przychodów uzyskan</w:t>
      </w:r>
      <w:r w:rsidR="009A0AE3">
        <w:rPr>
          <w:iCs/>
        </w:rPr>
        <w:t>ych</w:t>
      </w:r>
      <w:r w:rsidRPr="00490ABA">
        <w:rPr>
          <w:iCs/>
        </w:rPr>
        <w:t xml:space="preserve"> zostało przez 4% najzamożniejszych organizacji. Ich przychody przekraczają granicę 1 mln zł</w:t>
      </w:r>
      <w:r w:rsidR="00C1545F">
        <w:rPr>
          <w:iCs/>
        </w:rPr>
        <w:t xml:space="preserve"> </w:t>
      </w:r>
      <w:r w:rsidRPr="00490ABA">
        <w:rPr>
          <w:iCs/>
        </w:rPr>
        <w:t xml:space="preserve">rocznie. </w:t>
      </w:r>
      <w:r w:rsidR="0043302C">
        <w:rPr>
          <w:iCs/>
        </w:rPr>
        <w:t>Tymczasem</w:t>
      </w:r>
      <w:r w:rsidRPr="00490ABA">
        <w:rPr>
          <w:iCs/>
        </w:rPr>
        <w:t xml:space="preserve"> 42% wszystkich organizacji pozarządowych miało przychody poniżej </w:t>
      </w:r>
      <w:r w:rsidR="009A0AE3">
        <w:rPr>
          <w:iCs/>
        </w:rPr>
        <w:br/>
        <w:t>10 tys</w:t>
      </w:r>
      <w:r w:rsidRPr="00490ABA">
        <w:rPr>
          <w:iCs/>
        </w:rPr>
        <w:t xml:space="preserve">. zł, a wszystkie pozyskiwane </w:t>
      </w:r>
      <w:r w:rsidR="00684DC6">
        <w:rPr>
          <w:iCs/>
        </w:rPr>
        <w:t xml:space="preserve">przez nie </w:t>
      </w:r>
      <w:r w:rsidRPr="00490ABA">
        <w:rPr>
          <w:iCs/>
        </w:rPr>
        <w:t>rocznie środki stanowiły zaledwie 1% całości przychodów sektora</w:t>
      </w:r>
      <w:r w:rsidRPr="00490ABA">
        <w:rPr>
          <w:iCs/>
          <w:vertAlign w:val="superscript"/>
        </w:rPr>
        <w:footnoteReference w:id="4"/>
      </w:r>
      <w:r w:rsidRPr="00490ABA">
        <w:rPr>
          <w:iCs/>
        </w:rPr>
        <w:t xml:space="preserve">. Graficzne ujęcie tej dynamiki wyraźnie wskazuje na uprzywilejowany status finansowy pewnej wąskiej grupy podmiotów przy równoczesnym prawie </w:t>
      </w:r>
      <w:proofErr w:type="spellStart"/>
      <w:r w:rsidRPr="00490ABA">
        <w:rPr>
          <w:iCs/>
        </w:rPr>
        <w:t>bezbudżetowym</w:t>
      </w:r>
      <w:proofErr w:type="spellEnd"/>
      <w:r w:rsidRPr="00490ABA">
        <w:rPr>
          <w:iCs/>
        </w:rPr>
        <w:t xml:space="preserve"> charakterze działalności </w:t>
      </w:r>
      <w:r w:rsidR="0043302C">
        <w:rPr>
          <w:iCs/>
        </w:rPr>
        <w:t>prawie</w:t>
      </w:r>
      <w:r w:rsidRPr="00490ABA">
        <w:rPr>
          <w:iCs/>
        </w:rPr>
        <w:t xml:space="preserve"> połowy organizacji w sektorze.</w:t>
      </w:r>
    </w:p>
    <w:p w14:paraId="224572DB" w14:textId="2F2E0F6E" w:rsidR="009A0AE3" w:rsidRDefault="009A0AE3" w:rsidP="009A0AE3">
      <w:pPr>
        <w:pStyle w:val="Legenda"/>
        <w:keepNext/>
      </w:pPr>
      <w:bookmarkStart w:id="19" w:name="_Toc511125934"/>
      <w:r>
        <w:t xml:space="preserve">Wykres </w:t>
      </w:r>
      <w:r w:rsidR="00876468">
        <w:fldChar w:fldCharType="begin"/>
      </w:r>
      <w:r w:rsidR="00876468">
        <w:instrText xml:space="preserve"> SEQ Wykres \* ARABIC </w:instrText>
      </w:r>
      <w:r w:rsidR="00876468">
        <w:fldChar w:fldCharType="separate"/>
      </w:r>
      <w:r w:rsidR="00E74C5A">
        <w:rPr>
          <w:noProof/>
        </w:rPr>
        <w:t>6</w:t>
      </w:r>
      <w:r w:rsidR="00876468">
        <w:rPr>
          <w:noProof/>
        </w:rPr>
        <w:fldChar w:fldCharType="end"/>
      </w:r>
      <w:r w:rsidR="00E54DFE">
        <w:rPr>
          <w:noProof/>
        </w:rPr>
        <w:t>.</w:t>
      </w:r>
      <w:r w:rsidRPr="009A0AE3">
        <w:t xml:space="preserve"> </w:t>
      </w:r>
      <w:r w:rsidRPr="00490ABA">
        <w:t xml:space="preserve">Wartość środków finansowych zgromadzonych w </w:t>
      </w:r>
      <w:r w:rsidRPr="003C3163">
        <w:t>poszczególnych</w:t>
      </w:r>
      <w:r w:rsidRPr="00490ABA">
        <w:t xml:space="preserve"> grupach organizacji wyróżnionych na podstawie wysokości rocznych przychod</w:t>
      </w:r>
      <w:r>
        <w:t>ów uzyskanych w 2014 r. (w %), ź</w:t>
      </w:r>
      <w:r w:rsidRPr="00490ABA">
        <w:t>ródło: Sektor non-profit w 2014 r., GUS 2016</w:t>
      </w:r>
      <w:bookmarkEnd w:id="19"/>
    </w:p>
    <w:p w14:paraId="4731AB00" w14:textId="3B42B2EE" w:rsidR="00197F0C" w:rsidRDefault="00660572" w:rsidP="00490ABA">
      <w:r>
        <w:rPr>
          <w:noProof/>
          <w:lang w:eastAsia="pl-PL"/>
        </w:rPr>
        <w:drawing>
          <wp:inline distT="0" distB="0" distL="0" distR="0" wp14:anchorId="08D72A68" wp14:editId="46866022">
            <wp:extent cx="5759450" cy="2543175"/>
            <wp:effectExtent l="0" t="0" r="0" b="0"/>
            <wp:docPr id="27" name="Wykres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779FE62" w14:textId="5F59E19A" w:rsidR="00490ABA" w:rsidRPr="00490ABA" w:rsidRDefault="00490ABA" w:rsidP="00490ABA">
      <w:r w:rsidRPr="00490ABA">
        <w:t xml:space="preserve">Zjawisko to przez wielu specjalistów nazywane jest </w:t>
      </w:r>
      <w:proofErr w:type="spellStart"/>
      <w:r w:rsidRPr="00490ABA">
        <w:t>oligarchizacją</w:t>
      </w:r>
      <w:proofErr w:type="spellEnd"/>
      <w:r w:rsidRPr="00490ABA">
        <w:t xml:space="preserve"> sektora pozarządowego. Jego istnienie potwierdza również pomiar poziomu nierówności ekonomicznych</w:t>
      </w:r>
      <w:r w:rsidR="00B97334">
        <w:t>,</w:t>
      </w:r>
      <w:r w:rsidRPr="00490ABA">
        <w:t xml:space="preserve"> zwany współczynnikiem koncentracji </w:t>
      </w:r>
      <w:proofErr w:type="spellStart"/>
      <w:r w:rsidRPr="00490ABA">
        <w:t>Giniego</w:t>
      </w:r>
      <w:proofErr w:type="spellEnd"/>
      <w:r w:rsidRPr="00490ABA">
        <w:rPr>
          <w:vertAlign w:val="superscript"/>
        </w:rPr>
        <w:footnoteReference w:id="5"/>
      </w:r>
      <w:r w:rsidRPr="00490ABA">
        <w:t xml:space="preserve">. Wartość współczynnika </w:t>
      </w:r>
      <w:proofErr w:type="spellStart"/>
      <w:r w:rsidRPr="00490ABA">
        <w:t>Giniego</w:t>
      </w:r>
      <w:proofErr w:type="spellEnd"/>
      <w:r w:rsidRPr="00490ABA">
        <w:t xml:space="preserve"> obliczona dla organizacji pozarządowych w Polsce za 2014 </w:t>
      </w:r>
      <w:r w:rsidR="00B97334" w:rsidRPr="00490ABA">
        <w:t xml:space="preserve">rok </w:t>
      </w:r>
      <w:r w:rsidRPr="00490ABA">
        <w:t xml:space="preserve">wyniosła 0,871, co </w:t>
      </w:r>
      <w:r w:rsidR="00684DC6">
        <w:t>oznacza bardzo dużą koncentrację</w:t>
      </w:r>
      <w:r w:rsidRPr="00490ABA">
        <w:t xml:space="preserve"> przychodów w </w:t>
      </w:r>
      <w:r w:rsidR="0043302C">
        <w:t>ramach niewielkiej grupy</w:t>
      </w:r>
      <w:r w:rsidRPr="00490ABA">
        <w:t xml:space="preserve"> podmiotów. Analiza rozwarstwienia przychodów w poszczególnych rodzajach organizacji wykazała, że największe dysproporcje pomiędzy średnią i medianą wystąpiły </w:t>
      </w:r>
      <w:r w:rsidR="00B97334">
        <w:t xml:space="preserve">w grupie </w:t>
      </w:r>
      <w:r w:rsidRPr="00490ABA">
        <w:t>fundacji, gdzie mediana wyniosła 45,6 tys.</w:t>
      </w:r>
      <w:r w:rsidR="00B97334">
        <w:t xml:space="preserve"> zł</w:t>
      </w:r>
      <w:r w:rsidRPr="00490ABA">
        <w:t xml:space="preserve"> </w:t>
      </w:r>
      <w:r w:rsidR="00E54DFE">
        <w:br/>
      </w:r>
      <w:r w:rsidRPr="00490ABA">
        <w:t>i była niższa od średniej (610,4 tys. zł) o kwotę 56</w:t>
      </w:r>
      <w:r w:rsidR="00684DC6">
        <w:t>5 tys. zł, czyli blisko 14-</w:t>
      </w:r>
      <w:r w:rsidRPr="00490ABA">
        <w:t xml:space="preserve">krotnie. </w:t>
      </w:r>
      <w:r w:rsidR="00E54DFE">
        <w:br/>
      </w:r>
      <w:r w:rsidR="0043302C">
        <w:lastRenderedPageBreak/>
        <w:t>W stowarzyszeniach i innych, podobnych organizacjach, z uwagi na niższe zasoby finansowe różnica między medianą a średnią w złotych była wprawdzie mniejsza, ale w skali porównawczej dysproporcje wyglądały tu jednak jeszcze bardziej niekorzystnie. W tym przypadku mediana była niemal 16-krotnie niższa niż średnia przychodu przypadającego na statystyczne stowarzyszenie.</w:t>
      </w:r>
    </w:p>
    <w:p w14:paraId="7E20D834" w14:textId="212FEC87" w:rsidR="00051A69" w:rsidRDefault="00051A69" w:rsidP="00197F0C">
      <w:pPr>
        <w:spacing w:after="0" w:line="240" w:lineRule="auto"/>
        <w:rPr>
          <w:sz w:val="22"/>
        </w:rPr>
        <w:sectPr w:rsidR="00051A69" w:rsidSect="00AB0A78">
          <w:footerReference w:type="default" r:id="rId15"/>
          <w:pgSz w:w="11906" w:h="16838"/>
          <w:pgMar w:top="1417" w:right="1417" w:bottom="1417" w:left="1417" w:header="708" w:footer="708" w:gutter="0"/>
          <w:cols w:space="708"/>
          <w:titlePg/>
          <w:docGrid w:linePitch="360"/>
        </w:sectPr>
      </w:pPr>
    </w:p>
    <w:p w14:paraId="3DDD7CCF" w14:textId="6A78D1DF" w:rsidR="0069120B" w:rsidRDefault="0069120B" w:rsidP="0069120B">
      <w:pPr>
        <w:pStyle w:val="Legenda"/>
        <w:keepNext/>
      </w:pPr>
      <w:r>
        <w:lastRenderedPageBreak/>
        <w:t xml:space="preserve">Tabela </w:t>
      </w:r>
      <w:r w:rsidR="00876468">
        <w:fldChar w:fldCharType="begin"/>
      </w:r>
      <w:r w:rsidR="00876468">
        <w:instrText xml:space="preserve"> SEQ Tabela \* ARABIC </w:instrText>
      </w:r>
      <w:r w:rsidR="00876468">
        <w:fldChar w:fldCharType="separate"/>
      </w:r>
      <w:r w:rsidR="00E74C5A">
        <w:rPr>
          <w:noProof/>
        </w:rPr>
        <w:t>1</w:t>
      </w:r>
      <w:r w:rsidR="00876468">
        <w:rPr>
          <w:noProof/>
        </w:rPr>
        <w:fldChar w:fldCharType="end"/>
      </w:r>
      <w:r w:rsidR="00E54DFE">
        <w:rPr>
          <w:noProof/>
        </w:rPr>
        <w:t>.</w:t>
      </w:r>
      <w:r w:rsidRPr="0069120B">
        <w:t xml:space="preserve"> </w:t>
      </w:r>
      <w:r w:rsidRPr="00490ABA">
        <w:t>Przychody całkowite stowarzyszeń i podobnych organizacji oraz fundac</w:t>
      </w:r>
      <w:r w:rsidR="0043302C">
        <w:t>ji według rodzaju</w:t>
      </w:r>
      <w:r>
        <w:t>, ź</w:t>
      </w:r>
      <w:r w:rsidRPr="00490ABA">
        <w:t>ródło: Sektor non-profit w 2014 r., GUS 2016</w:t>
      </w:r>
    </w:p>
    <w:tbl>
      <w:tblPr>
        <w:tblW w:w="14034"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2469"/>
        <w:gridCol w:w="690"/>
        <w:gridCol w:w="1803"/>
        <w:gridCol w:w="850"/>
        <w:gridCol w:w="1701"/>
        <w:gridCol w:w="1701"/>
        <w:gridCol w:w="1701"/>
        <w:gridCol w:w="1701"/>
        <w:gridCol w:w="1418"/>
      </w:tblGrid>
      <w:tr w:rsidR="00051A69" w:rsidRPr="00197F0C" w14:paraId="03EFA09F" w14:textId="77777777" w:rsidTr="00B91DD9">
        <w:trPr>
          <w:trHeight w:val="216"/>
        </w:trPr>
        <w:tc>
          <w:tcPr>
            <w:tcW w:w="2469" w:type="dxa"/>
            <w:vMerge w:val="restart"/>
            <w:shd w:val="clear" w:color="auto" w:fill="DEEAF6" w:themeFill="accent1" w:themeFillTint="33"/>
            <w:noWrap/>
            <w:vAlign w:val="center"/>
            <w:hideMark/>
          </w:tcPr>
          <w:p w14:paraId="4D134497" w14:textId="77777777" w:rsidR="00490ABA" w:rsidRPr="00197F0C" w:rsidRDefault="00490ABA" w:rsidP="00857222">
            <w:pPr>
              <w:spacing w:after="0" w:line="240" w:lineRule="auto"/>
              <w:jc w:val="center"/>
              <w:rPr>
                <w:sz w:val="22"/>
              </w:rPr>
            </w:pPr>
            <w:r w:rsidRPr="00197F0C">
              <w:rPr>
                <w:sz w:val="22"/>
              </w:rPr>
              <w:t>Wyszczególnienie</w:t>
            </w:r>
          </w:p>
        </w:tc>
        <w:tc>
          <w:tcPr>
            <w:tcW w:w="690" w:type="dxa"/>
            <w:vMerge w:val="restart"/>
            <w:shd w:val="clear" w:color="auto" w:fill="DEEAF6" w:themeFill="accent1" w:themeFillTint="33"/>
            <w:noWrap/>
            <w:vAlign w:val="center"/>
            <w:hideMark/>
          </w:tcPr>
          <w:p w14:paraId="773B3EE0" w14:textId="77777777" w:rsidR="00490ABA" w:rsidRPr="00197F0C" w:rsidRDefault="00490ABA" w:rsidP="00857222">
            <w:pPr>
              <w:spacing w:after="0" w:line="240" w:lineRule="auto"/>
              <w:jc w:val="center"/>
              <w:rPr>
                <w:sz w:val="22"/>
              </w:rPr>
            </w:pPr>
            <w:r w:rsidRPr="00197F0C">
              <w:rPr>
                <w:sz w:val="22"/>
              </w:rPr>
              <w:t>Rok</w:t>
            </w:r>
          </w:p>
        </w:tc>
        <w:tc>
          <w:tcPr>
            <w:tcW w:w="1803" w:type="dxa"/>
            <w:vMerge w:val="restart"/>
            <w:shd w:val="clear" w:color="auto" w:fill="DEEAF6" w:themeFill="accent1" w:themeFillTint="33"/>
            <w:vAlign w:val="center"/>
            <w:hideMark/>
          </w:tcPr>
          <w:p w14:paraId="36E81867" w14:textId="7F86317A" w:rsidR="00490ABA" w:rsidRPr="00197F0C" w:rsidRDefault="00490ABA" w:rsidP="00857222">
            <w:pPr>
              <w:spacing w:after="0" w:line="240" w:lineRule="auto"/>
              <w:jc w:val="center"/>
              <w:rPr>
                <w:sz w:val="22"/>
              </w:rPr>
            </w:pPr>
            <w:r w:rsidRPr="00197F0C">
              <w:rPr>
                <w:sz w:val="22"/>
              </w:rPr>
              <w:t xml:space="preserve">Ogółem stowarzyszenia </w:t>
            </w:r>
            <w:r w:rsidR="00857222">
              <w:rPr>
                <w:sz w:val="22"/>
              </w:rPr>
              <w:br/>
            </w:r>
            <w:r w:rsidRPr="00197F0C">
              <w:rPr>
                <w:sz w:val="22"/>
              </w:rPr>
              <w:t>i fundacje</w:t>
            </w:r>
          </w:p>
        </w:tc>
        <w:tc>
          <w:tcPr>
            <w:tcW w:w="9072" w:type="dxa"/>
            <w:gridSpan w:val="6"/>
            <w:shd w:val="clear" w:color="auto" w:fill="DEEAF6" w:themeFill="accent1" w:themeFillTint="33"/>
            <w:vAlign w:val="center"/>
            <w:hideMark/>
          </w:tcPr>
          <w:p w14:paraId="00FCF92B" w14:textId="77777777" w:rsidR="00490ABA" w:rsidRPr="00197F0C" w:rsidRDefault="00490ABA" w:rsidP="00857222">
            <w:pPr>
              <w:spacing w:after="0" w:line="240" w:lineRule="auto"/>
              <w:jc w:val="center"/>
              <w:rPr>
                <w:sz w:val="22"/>
              </w:rPr>
            </w:pPr>
            <w:r w:rsidRPr="00197F0C">
              <w:rPr>
                <w:sz w:val="22"/>
              </w:rPr>
              <w:t>Rodzaj organizacji</w:t>
            </w:r>
          </w:p>
        </w:tc>
      </w:tr>
      <w:tr w:rsidR="00660572" w:rsidRPr="00197F0C" w14:paraId="5203ADB6" w14:textId="77777777" w:rsidTr="00B91DD9">
        <w:trPr>
          <w:trHeight w:val="850"/>
        </w:trPr>
        <w:tc>
          <w:tcPr>
            <w:tcW w:w="2469" w:type="dxa"/>
            <w:vMerge/>
            <w:shd w:val="clear" w:color="auto" w:fill="DEEAF6" w:themeFill="accent1" w:themeFillTint="33"/>
            <w:vAlign w:val="center"/>
            <w:hideMark/>
          </w:tcPr>
          <w:p w14:paraId="1AF19782" w14:textId="77777777" w:rsidR="00660572" w:rsidRPr="00197F0C" w:rsidRDefault="00660572" w:rsidP="00857222">
            <w:pPr>
              <w:spacing w:after="0" w:line="240" w:lineRule="auto"/>
              <w:jc w:val="center"/>
              <w:rPr>
                <w:sz w:val="22"/>
              </w:rPr>
            </w:pPr>
          </w:p>
        </w:tc>
        <w:tc>
          <w:tcPr>
            <w:tcW w:w="690" w:type="dxa"/>
            <w:vMerge/>
            <w:shd w:val="clear" w:color="auto" w:fill="DEEAF6" w:themeFill="accent1" w:themeFillTint="33"/>
            <w:vAlign w:val="center"/>
            <w:hideMark/>
          </w:tcPr>
          <w:p w14:paraId="414E077D" w14:textId="77777777" w:rsidR="00660572" w:rsidRPr="00197F0C" w:rsidRDefault="00660572" w:rsidP="00857222">
            <w:pPr>
              <w:spacing w:after="0" w:line="240" w:lineRule="auto"/>
              <w:jc w:val="center"/>
              <w:rPr>
                <w:sz w:val="22"/>
              </w:rPr>
            </w:pPr>
          </w:p>
        </w:tc>
        <w:tc>
          <w:tcPr>
            <w:tcW w:w="1803" w:type="dxa"/>
            <w:vMerge/>
            <w:shd w:val="clear" w:color="auto" w:fill="DEEAF6" w:themeFill="accent1" w:themeFillTint="33"/>
            <w:vAlign w:val="center"/>
            <w:hideMark/>
          </w:tcPr>
          <w:p w14:paraId="698215DF" w14:textId="77777777" w:rsidR="00660572" w:rsidRPr="00197F0C" w:rsidRDefault="00660572" w:rsidP="00857222">
            <w:pPr>
              <w:spacing w:after="0" w:line="240" w:lineRule="auto"/>
              <w:jc w:val="center"/>
              <w:rPr>
                <w:sz w:val="22"/>
              </w:rPr>
            </w:pPr>
          </w:p>
        </w:tc>
        <w:tc>
          <w:tcPr>
            <w:tcW w:w="7654" w:type="dxa"/>
            <w:gridSpan w:val="5"/>
            <w:shd w:val="clear" w:color="auto" w:fill="DEEAF6" w:themeFill="accent1" w:themeFillTint="33"/>
            <w:hideMark/>
          </w:tcPr>
          <w:p w14:paraId="3E8DEADF" w14:textId="70C61FD4" w:rsidR="00660572" w:rsidRPr="00197F0C" w:rsidRDefault="00660572" w:rsidP="00660572">
            <w:pPr>
              <w:spacing w:after="0" w:line="240" w:lineRule="auto"/>
              <w:jc w:val="center"/>
              <w:rPr>
                <w:sz w:val="22"/>
              </w:rPr>
            </w:pPr>
            <w:r>
              <w:rPr>
                <w:sz w:val="22"/>
              </w:rPr>
              <w:br/>
            </w:r>
            <w:r w:rsidRPr="00197F0C">
              <w:rPr>
                <w:sz w:val="22"/>
              </w:rPr>
              <w:t>Stowarzyszenia i podobne organizacje społeczne</w:t>
            </w:r>
          </w:p>
        </w:tc>
        <w:tc>
          <w:tcPr>
            <w:tcW w:w="1418" w:type="dxa"/>
            <w:vMerge w:val="restart"/>
            <w:shd w:val="clear" w:color="auto" w:fill="DEEAF6" w:themeFill="accent1" w:themeFillTint="33"/>
            <w:hideMark/>
          </w:tcPr>
          <w:p w14:paraId="65784533" w14:textId="732DEB02" w:rsidR="00660572" w:rsidRPr="00197F0C" w:rsidRDefault="00660572" w:rsidP="00660572">
            <w:pPr>
              <w:spacing w:after="0" w:line="240" w:lineRule="auto"/>
              <w:jc w:val="center"/>
              <w:rPr>
                <w:sz w:val="22"/>
              </w:rPr>
            </w:pPr>
            <w:r>
              <w:rPr>
                <w:sz w:val="22"/>
              </w:rPr>
              <w:br/>
            </w:r>
            <w:r w:rsidRPr="00197F0C">
              <w:rPr>
                <w:sz w:val="22"/>
              </w:rPr>
              <w:t>Fundacje</w:t>
            </w:r>
          </w:p>
        </w:tc>
      </w:tr>
      <w:tr w:rsidR="00660572" w:rsidRPr="00197F0C" w14:paraId="7A902501" w14:textId="77777777" w:rsidTr="00B91DD9">
        <w:trPr>
          <w:trHeight w:val="1074"/>
        </w:trPr>
        <w:tc>
          <w:tcPr>
            <w:tcW w:w="2469" w:type="dxa"/>
            <w:vMerge/>
            <w:vAlign w:val="center"/>
            <w:hideMark/>
          </w:tcPr>
          <w:p w14:paraId="3AF9AB02" w14:textId="77777777" w:rsidR="00660572" w:rsidRPr="00197F0C" w:rsidRDefault="00660572" w:rsidP="00857222">
            <w:pPr>
              <w:spacing w:after="0" w:line="240" w:lineRule="auto"/>
              <w:jc w:val="center"/>
              <w:rPr>
                <w:sz w:val="22"/>
              </w:rPr>
            </w:pPr>
          </w:p>
        </w:tc>
        <w:tc>
          <w:tcPr>
            <w:tcW w:w="690" w:type="dxa"/>
            <w:vMerge/>
            <w:vAlign w:val="center"/>
            <w:hideMark/>
          </w:tcPr>
          <w:p w14:paraId="17224CE9" w14:textId="77777777" w:rsidR="00660572" w:rsidRPr="00197F0C" w:rsidRDefault="00660572" w:rsidP="00857222">
            <w:pPr>
              <w:spacing w:after="0" w:line="240" w:lineRule="auto"/>
              <w:jc w:val="center"/>
              <w:rPr>
                <w:sz w:val="22"/>
              </w:rPr>
            </w:pPr>
          </w:p>
        </w:tc>
        <w:tc>
          <w:tcPr>
            <w:tcW w:w="1803" w:type="dxa"/>
            <w:vMerge/>
            <w:vAlign w:val="center"/>
            <w:hideMark/>
          </w:tcPr>
          <w:p w14:paraId="19ED50AD" w14:textId="77777777" w:rsidR="00660572" w:rsidRPr="00197F0C" w:rsidRDefault="00660572" w:rsidP="00857222">
            <w:pPr>
              <w:spacing w:after="0" w:line="240" w:lineRule="auto"/>
              <w:jc w:val="center"/>
              <w:rPr>
                <w:sz w:val="22"/>
              </w:rPr>
            </w:pPr>
          </w:p>
        </w:tc>
        <w:tc>
          <w:tcPr>
            <w:tcW w:w="850" w:type="dxa"/>
            <w:shd w:val="clear" w:color="auto" w:fill="E7E6E6" w:themeFill="background2"/>
            <w:noWrap/>
            <w:vAlign w:val="center"/>
            <w:hideMark/>
          </w:tcPr>
          <w:p w14:paraId="403CC202" w14:textId="77777777" w:rsidR="00660572" w:rsidRPr="00197F0C" w:rsidRDefault="00660572" w:rsidP="00857222">
            <w:pPr>
              <w:spacing w:after="0" w:line="240" w:lineRule="auto"/>
              <w:jc w:val="center"/>
              <w:rPr>
                <w:sz w:val="22"/>
              </w:rPr>
            </w:pPr>
            <w:r w:rsidRPr="00197F0C">
              <w:rPr>
                <w:sz w:val="22"/>
              </w:rPr>
              <w:t>Razem</w:t>
            </w:r>
          </w:p>
        </w:tc>
        <w:tc>
          <w:tcPr>
            <w:tcW w:w="1701" w:type="dxa"/>
            <w:shd w:val="clear" w:color="auto" w:fill="E7E6E6" w:themeFill="background2"/>
            <w:vAlign w:val="center"/>
            <w:hideMark/>
          </w:tcPr>
          <w:p w14:paraId="75EB934D" w14:textId="67E5054B" w:rsidR="00660572" w:rsidRPr="00197F0C" w:rsidRDefault="00660572" w:rsidP="00857222">
            <w:pPr>
              <w:spacing w:after="0" w:line="240" w:lineRule="auto"/>
              <w:jc w:val="center"/>
              <w:rPr>
                <w:sz w:val="22"/>
              </w:rPr>
            </w:pPr>
            <w:r>
              <w:rPr>
                <w:sz w:val="22"/>
              </w:rPr>
              <w:t>Typowe stowarzy</w:t>
            </w:r>
            <w:r w:rsidRPr="00197F0C">
              <w:rPr>
                <w:sz w:val="22"/>
              </w:rPr>
              <w:t xml:space="preserve">szenia </w:t>
            </w:r>
            <w:r>
              <w:rPr>
                <w:sz w:val="22"/>
              </w:rPr>
              <w:br/>
            </w:r>
            <w:r w:rsidRPr="00197F0C">
              <w:rPr>
                <w:sz w:val="22"/>
              </w:rPr>
              <w:t>i organizacje społeczne</w:t>
            </w:r>
          </w:p>
        </w:tc>
        <w:tc>
          <w:tcPr>
            <w:tcW w:w="1701" w:type="dxa"/>
            <w:shd w:val="clear" w:color="auto" w:fill="E7E6E6" w:themeFill="background2"/>
            <w:vAlign w:val="center"/>
            <w:hideMark/>
          </w:tcPr>
          <w:p w14:paraId="697EE33C" w14:textId="231CB8C4" w:rsidR="00660572" w:rsidRPr="00197F0C" w:rsidRDefault="00660572" w:rsidP="00857222">
            <w:pPr>
              <w:spacing w:after="0" w:line="240" w:lineRule="auto"/>
              <w:jc w:val="center"/>
              <w:rPr>
                <w:sz w:val="22"/>
              </w:rPr>
            </w:pPr>
            <w:r>
              <w:rPr>
                <w:sz w:val="22"/>
              </w:rPr>
              <w:t>S</w:t>
            </w:r>
            <w:r w:rsidRPr="00197F0C">
              <w:rPr>
                <w:sz w:val="22"/>
              </w:rPr>
              <w:t>towarzyszenia sportowe</w:t>
            </w:r>
          </w:p>
        </w:tc>
        <w:tc>
          <w:tcPr>
            <w:tcW w:w="1701" w:type="dxa"/>
            <w:shd w:val="clear" w:color="auto" w:fill="E7E6E6" w:themeFill="background2"/>
            <w:vAlign w:val="center"/>
            <w:hideMark/>
          </w:tcPr>
          <w:p w14:paraId="43E07526" w14:textId="05AF2EDF" w:rsidR="00660572" w:rsidRPr="00197F0C" w:rsidRDefault="00660572" w:rsidP="00857222">
            <w:pPr>
              <w:spacing w:after="0" w:line="240" w:lineRule="auto"/>
              <w:jc w:val="center"/>
              <w:rPr>
                <w:sz w:val="22"/>
              </w:rPr>
            </w:pPr>
            <w:r>
              <w:rPr>
                <w:sz w:val="22"/>
              </w:rPr>
              <w:t>O</w:t>
            </w:r>
            <w:r w:rsidRPr="00197F0C">
              <w:rPr>
                <w:sz w:val="22"/>
              </w:rPr>
              <w:t>chotnicze straże pożarne</w:t>
            </w:r>
          </w:p>
        </w:tc>
        <w:tc>
          <w:tcPr>
            <w:tcW w:w="1701" w:type="dxa"/>
            <w:shd w:val="clear" w:color="auto" w:fill="E7E6E6" w:themeFill="background2"/>
            <w:vAlign w:val="center"/>
            <w:hideMark/>
          </w:tcPr>
          <w:p w14:paraId="14FB126B" w14:textId="1BD82097" w:rsidR="00660572" w:rsidRPr="00197F0C" w:rsidRDefault="00660572" w:rsidP="00857222">
            <w:pPr>
              <w:spacing w:after="0" w:line="240" w:lineRule="auto"/>
              <w:jc w:val="center"/>
              <w:rPr>
                <w:sz w:val="22"/>
              </w:rPr>
            </w:pPr>
            <w:r>
              <w:rPr>
                <w:sz w:val="22"/>
              </w:rPr>
              <w:t>K</w:t>
            </w:r>
            <w:r w:rsidRPr="00197F0C">
              <w:rPr>
                <w:sz w:val="22"/>
              </w:rPr>
              <w:t>oła łowieckie</w:t>
            </w:r>
          </w:p>
        </w:tc>
        <w:tc>
          <w:tcPr>
            <w:tcW w:w="1418" w:type="dxa"/>
            <w:vMerge/>
            <w:shd w:val="clear" w:color="auto" w:fill="B7E4FF"/>
            <w:vAlign w:val="center"/>
            <w:hideMark/>
          </w:tcPr>
          <w:p w14:paraId="7EFE3DA7" w14:textId="77777777" w:rsidR="00660572" w:rsidRPr="00197F0C" w:rsidRDefault="00660572" w:rsidP="00857222">
            <w:pPr>
              <w:spacing w:after="0" w:line="240" w:lineRule="auto"/>
              <w:jc w:val="center"/>
              <w:rPr>
                <w:sz w:val="22"/>
              </w:rPr>
            </w:pPr>
          </w:p>
        </w:tc>
      </w:tr>
      <w:tr w:rsidR="00051A69" w:rsidRPr="00197F0C" w14:paraId="5A74BE25" w14:textId="77777777" w:rsidTr="00B91DD9">
        <w:trPr>
          <w:trHeight w:val="223"/>
        </w:trPr>
        <w:tc>
          <w:tcPr>
            <w:tcW w:w="2469" w:type="dxa"/>
            <w:vMerge w:val="restart"/>
            <w:shd w:val="clear" w:color="auto" w:fill="auto"/>
            <w:vAlign w:val="center"/>
            <w:hideMark/>
          </w:tcPr>
          <w:p w14:paraId="6953626F" w14:textId="77777777" w:rsidR="00490ABA" w:rsidRPr="00197F0C" w:rsidRDefault="00490ABA" w:rsidP="00197F0C">
            <w:pPr>
              <w:spacing w:after="0" w:line="240" w:lineRule="auto"/>
              <w:rPr>
                <w:sz w:val="22"/>
              </w:rPr>
            </w:pPr>
            <w:r w:rsidRPr="00197F0C">
              <w:rPr>
                <w:sz w:val="22"/>
              </w:rPr>
              <w:t>Liczba organizacji (tys.)</w:t>
            </w:r>
          </w:p>
        </w:tc>
        <w:tc>
          <w:tcPr>
            <w:tcW w:w="690" w:type="dxa"/>
            <w:shd w:val="clear" w:color="auto" w:fill="auto"/>
            <w:noWrap/>
            <w:vAlign w:val="center"/>
            <w:hideMark/>
          </w:tcPr>
          <w:p w14:paraId="3EF41963" w14:textId="77777777" w:rsidR="00490ABA" w:rsidRPr="00197F0C" w:rsidRDefault="00490ABA" w:rsidP="00197F0C">
            <w:pPr>
              <w:spacing w:after="0" w:line="240" w:lineRule="auto"/>
              <w:rPr>
                <w:sz w:val="22"/>
              </w:rPr>
            </w:pPr>
            <w:r w:rsidRPr="00197F0C">
              <w:rPr>
                <w:sz w:val="22"/>
              </w:rPr>
              <w:t>2010</w:t>
            </w:r>
          </w:p>
        </w:tc>
        <w:tc>
          <w:tcPr>
            <w:tcW w:w="1803" w:type="dxa"/>
            <w:shd w:val="clear" w:color="auto" w:fill="auto"/>
            <w:vAlign w:val="center"/>
            <w:hideMark/>
          </w:tcPr>
          <w:p w14:paraId="357EB55F" w14:textId="77777777" w:rsidR="00490ABA" w:rsidRPr="00197F0C" w:rsidRDefault="00490ABA" w:rsidP="00857222">
            <w:pPr>
              <w:spacing w:after="0" w:line="240" w:lineRule="auto"/>
              <w:jc w:val="center"/>
              <w:rPr>
                <w:sz w:val="22"/>
              </w:rPr>
            </w:pPr>
            <w:r w:rsidRPr="00197F0C">
              <w:rPr>
                <w:sz w:val="22"/>
              </w:rPr>
              <w:t>75,0</w:t>
            </w:r>
          </w:p>
        </w:tc>
        <w:tc>
          <w:tcPr>
            <w:tcW w:w="850" w:type="dxa"/>
            <w:shd w:val="clear" w:color="auto" w:fill="auto"/>
            <w:noWrap/>
            <w:vAlign w:val="center"/>
            <w:hideMark/>
          </w:tcPr>
          <w:p w14:paraId="5900BF26" w14:textId="77777777" w:rsidR="00490ABA" w:rsidRPr="00197F0C" w:rsidRDefault="00490ABA" w:rsidP="00AF2C20">
            <w:pPr>
              <w:spacing w:after="0" w:line="240" w:lineRule="auto"/>
              <w:jc w:val="center"/>
              <w:rPr>
                <w:sz w:val="22"/>
              </w:rPr>
            </w:pPr>
            <w:r w:rsidRPr="00197F0C">
              <w:rPr>
                <w:sz w:val="22"/>
              </w:rPr>
              <w:t>67,9</w:t>
            </w:r>
          </w:p>
        </w:tc>
        <w:tc>
          <w:tcPr>
            <w:tcW w:w="1701" w:type="dxa"/>
            <w:shd w:val="clear" w:color="auto" w:fill="auto"/>
            <w:vAlign w:val="center"/>
            <w:hideMark/>
          </w:tcPr>
          <w:p w14:paraId="0CB1F325" w14:textId="77777777" w:rsidR="00490ABA" w:rsidRPr="00197F0C" w:rsidRDefault="00490ABA" w:rsidP="00857222">
            <w:pPr>
              <w:spacing w:after="0" w:line="240" w:lineRule="auto"/>
              <w:jc w:val="center"/>
              <w:rPr>
                <w:sz w:val="22"/>
              </w:rPr>
            </w:pPr>
            <w:r w:rsidRPr="00197F0C">
              <w:rPr>
                <w:sz w:val="22"/>
              </w:rPr>
              <w:t>32,2</w:t>
            </w:r>
          </w:p>
        </w:tc>
        <w:tc>
          <w:tcPr>
            <w:tcW w:w="1701" w:type="dxa"/>
            <w:shd w:val="clear" w:color="auto" w:fill="auto"/>
            <w:vAlign w:val="center"/>
            <w:hideMark/>
          </w:tcPr>
          <w:p w14:paraId="21C979DB" w14:textId="77777777" w:rsidR="00490ABA" w:rsidRPr="00197F0C" w:rsidRDefault="00490ABA" w:rsidP="00857222">
            <w:pPr>
              <w:spacing w:after="0" w:line="240" w:lineRule="auto"/>
              <w:jc w:val="center"/>
              <w:rPr>
                <w:sz w:val="22"/>
              </w:rPr>
            </w:pPr>
            <w:r w:rsidRPr="00197F0C">
              <w:rPr>
                <w:sz w:val="22"/>
              </w:rPr>
              <w:t>18,4</w:t>
            </w:r>
          </w:p>
        </w:tc>
        <w:tc>
          <w:tcPr>
            <w:tcW w:w="1701" w:type="dxa"/>
            <w:shd w:val="clear" w:color="auto" w:fill="auto"/>
            <w:vAlign w:val="center"/>
            <w:hideMark/>
          </w:tcPr>
          <w:p w14:paraId="49548EDD" w14:textId="77777777" w:rsidR="00490ABA" w:rsidRPr="00197F0C" w:rsidRDefault="00490ABA" w:rsidP="00857222">
            <w:pPr>
              <w:spacing w:after="0" w:line="240" w:lineRule="auto"/>
              <w:jc w:val="center"/>
              <w:rPr>
                <w:sz w:val="22"/>
              </w:rPr>
            </w:pPr>
            <w:r w:rsidRPr="00197F0C">
              <w:rPr>
                <w:sz w:val="22"/>
              </w:rPr>
              <w:t>14,8</w:t>
            </w:r>
          </w:p>
        </w:tc>
        <w:tc>
          <w:tcPr>
            <w:tcW w:w="1701" w:type="dxa"/>
            <w:shd w:val="clear" w:color="auto" w:fill="auto"/>
            <w:vAlign w:val="center"/>
            <w:hideMark/>
          </w:tcPr>
          <w:p w14:paraId="4BF998FD" w14:textId="77777777" w:rsidR="00490ABA" w:rsidRPr="00197F0C" w:rsidRDefault="00490ABA" w:rsidP="00857222">
            <w:pPr>
              <w:spacing w:after="0" w:line="240" w:lineRule="auto"/>
              <w:jc w:val="center"/>
              <w:rPr>
                <w:sz w:val="22"/>
              </w:rPr>
            </w:pPr>
            <w:r w:rsidRPr="00197F0C">
              <w:rPr>
                <w:sz w:val="22"/>
              </w:rPr>
              <w:t>2,5</w:t>
            </w:r>
          </w:p>
        </w:tc>
        <w:tc>
          <w:tcPr>
            <w:tcW w:w="1418" w:type="dxa"/>
            <w:shd w:val="clear" w:color="auto" w:fill="auto"/>
            <w:vAlign w:val="center"/>
            <w:hideMark/>
          </w:tcPr>
          <w:p w14:paraId="416F008B" w14:textId="77777777" w:rsidR="00490ABA" w:rsidRPr="00197F0C" w:rsidRDefault="00490ABA" w:rsidP="00857222">
            <w:pPr>
              <w:spacing w:after="0" w:line="240" w:lineRule="auto"/>
              <w:jc w:val="center"/>
              <w:rPr>
                <w:sz w:val="22"/>
              </w:rPr>
            </w:pPr>
            <w:r w:rsidRPr="00197F0C">
              <w:rPr>
                <w:sz w:val="22"/>
              </w:rPr>
              <w:t>7,1</w:t>
            </w:r>
          </w:p>
        </w:tc>
      </w:tr>
      <w:tr w:rsidR="00051A69" w:rsidRPr="00197F0C" w14:paraId="045CCA69" w14:textId="77777777" w:rsidTr="00B91DD9">
        <w:trPr>
          <w:trHeight w:val="205"/>
        </w:trPr>
        <w:tc>
          <w:tcPr>
            <w:tcW w:w="2469" w:type="dxa"/>
            <w:vMerge/>
            <w:vAlign w:val="center"/>
            <w:hideMark/>
          </w:tcPr>
          <w:p w14:paraId="4BAF6FA0" w14:textId="77777777" w:rsidR="00490ABA" w:rsidRPr="00197F0C" w:rsidRDefault="00490ABA" w:rsidP="00197F0C">
            <w:pPr>
              <w:spacing w:after="0" w:line="240" w:lineRule="auto"/>
              <w:rPr>
                <w:sz w:val="22"/>
              </w:rPr>
            </w:pPr>
          </w:p>
        </w:tc>
        <w:tc>
          <w:tcPr>
            <w:tcW w:w="690" w:type="dxa"/>
            <w:shd w:val="clear" w:color="auto" w:fill="auto"/>
            <w:vAlign w:val="center"/>
            <w:hideMark/>
          </w:tcPr>
          <w:p w14:paraId="245A3354" w14:textId="77777777" w:rsidR="00490ABA" w:rsidRPr="00197F0C" w:rsidRDefault="00490ABA" w:rsidP="00197F0C">
            <w:pPr>
              <w:spacing w:after="0" w:line="240" w:lineRule="auto"/>
              <w:rPr>
                <w:sz w:val="22"/>
              </w:rPr>
            </w:pPr>
            <w:r w:rsidRPr="00197F0C">
              <w:rPr>
                <w:sz w:val="22"/>
              </w:rPr>
              <w:t>2012</w:t>
            </w:r>
          </w:p>
        </w:tc>
        <w:tc>
          <w:tcPr>
            <w:tcW w:w="1803" w:type="dxa"/>
            <w:shd w:val="clear" w:color="auto" w:fill="auto"/>
            <w:noWrap/>
            <w:vAlign w:val="center"/>
            <w:hideMark/>
          </w:tcPr>
          <w:p w14:paraId="336FEE11" w14:textId="77777777" w:rsidR="00490ABA" w:rsidRPr="00197F0C" w:rsidRDefault="00490ABA" w:rsidP="00857222">
            <w:pPr>
              <w:spacing w:after="0" w:line="240" w:lineRule="auto"/>
              <w:jc w:val="center"/>
              <w:rPr>
                <w:sz w:val="22"/>
              </w:rPr>
            </w:pPr>
            <w:r w:rsidRPr="00197F0C">
              <w:rPr>
                <w:sz w:val="22"/>
              </w:rPr>
              <w:t>78,0</w:t>
            </w:r>
          </w:p>
        </w:tc>
        <w:tc>
          <w:tcPr>
            <w:tcW w:w="850" w:type="dxa"/>
            <w:shd w:val="clear" w:color="auto" w:fill="auto"/>
            <w:noWrap/>
            <w:vAlign w:val="center"/>
            <w:hideMark/>
          </w:tcPr>
          <w:p w14:paraId="680CBFC4" w14:textId="77777777" w:rsidR="00490ABA" w:rsidRPr="00197F0C" w:rsidRDefault="00490ABA" w:rsidP="00AF2C20">
            <w:pPr>
              <w:spacing w:after="0" w:line="240" w:lineRule="auto"/>
              <w:jc w:val="center"/>
              <w:rPr>
                <w:sz w:val="22"/>
              </w:rPr>
            </w:pPr>
            <w:r w:rsidRPr="00197F0C">
              <w:rPr>
                <w:sz w:val="22"/>
              </w:rPr>
              <w:t>69,5</w:t>
            </w:r>
          </w:p>
        </w:tc>
        <w:tc>
          <w:tcPr>
            <w:tcW w:w="1701" w:type="dxa"/>
            <w:shd w:val="clear" w:color="auto" w:fill="auto"/>
            <w:noWrap/>
            <w:vAlign w:val="center"/>
            <w:hideMark/>
          </w:tcPr>
          <w:p w14:paraId="4C25A7E1" w14:textId="77777777" w:rsidR="00490ABA" w:rsidRPr="00197F0C" w:rsidRDefault="00490ABA" w:rsidP="00857222">
            <w:pPr>
              <w:spacing w:after="0" w:line="240" w:lineRule="auto"/>
              <w:jc w:val="center"/>
              <w:rPr>
                <w:sz w:val="22"/>
              </w:rPr>
            </w:pPr>
            <w:r w:rsidRPr="00197F0C">
              <w:rPr>
                <w:sz w:val="22"/>
              </w:rPr>
              <w:t>32,4</w:t>
            </w:r>
          </w:p>
        </w:tc>
        <w:tc>
          <w:tcPr>
            <w:tcW w:w="1701" w:type="dxa"/>
            <w:shd w:val="clear" w:color="auto" w:fill="auto"/>
            <w:noWrap/>
            <w:vAlign w:val="center"/>
            <w:hideMark/>
          </w:tcPr>
          <w:p w14:paraId="5BA64F3C" w14:textId="77777777" w:rsidR="00490ABA" w:rsidRPr="00197F0C" w:rsidRDefault="00490ABA" w:rsidP="00857222">
            <w:pPr>
              <w:spacing w:after="0" w:line="240" w:lineRule="auto"/>
              <w:jc w:val="center"/>
              <w:rPr>
                <w:sz w:val="22"/>
              </w:rPr>
            </w:pPr>
            <w:r w:rsidRPr="00197F0C">
              <w:rPr>
                <w:sz w:val="22"/>
              </w:rPr>
              <w:t>19,8</w:t>
            </w:r>
          </w:p>
        </w:tc>
        <w:tc>
          <w:tcPr>
            <w:tcW w:w="1701" w:type="dxa"/>
            <w:shd w:val="clear" w:color="auto" w:fill="auto"/>
            <w:noWrap/>
            <w:vAlign w:val="center"/>
            <w:hideMark/>
          </w:tcPr>
          <w:p w14:paraId="163A8B3D" w14:textId="77777777" w:rsidR="00490ABA" w:rsidRPr="00197F0C" w:rsidRDefault="00490ABA" w:rsidP="00857222">
            <w:pPr>
              <w:spacing w:after="0" w:line="240" w:lineRule="auto"/>
              <w:jc w:val="center"/>
              <w:rPr>
                <w:sz w:val="22"/>
              </w:rPr>
            </w:pPr>
            <w:r w:rsidRPr="00197F0C">
              <w:rPr>
                <w:sz w:val="22"/>
              </w:rPr>
              <w:t>14,9</w:t>
            </w:r>
          </w:p>
        </w:tc>
        <w:tc>
          <w:tcPr>
            <w:tcW w:w="1701" w:type="dxa"/>
            <w:shd w:val="clear" w:color="auto" w:fill="auto"/>
            <w:noWrap/>
            <w:vAlign w:val="center"/>
            <w:hideMark/>
          </w:tcPr>
          <w:p w14:paraId="5EFC5FDA" w14:textId="77777777" w:rsidR="00490ABA" w:rsidRPr="00197F0C" w:rsidRDefault="00490ABA" w:rsidP="00857222">
            <w:pPr>
              <w:spacing w:after="0" w:line="240" w:lineRule="auto"/>
              <w:jc w:val="center"/>
              <w:rPr>
                <w:sz w:val="22"/>
              </w:rPr>
            </w:pPr>
            <w:r w:rsidRPr="00197F0C">
              <w:rPr>
                <w:sz w:val="22"/>
              </w:rPr>
              <w:t>2,4</w:t>
            </w:r>
          </w:p>
        </w:tc>
        <w:tc>
          <w:tcPr>
            <w:tcW w:w="1418" w:type="dxa"/>
            <w:shd w:val="clear" w:color="auto" w:fill="auto"/>
            <w:noWrap/>
            <w:vAlign w:val="center"/>
            <w:hideMark/>
          </w:tcPr>
          <w:p w14:paraId="12F60CFC" w14:textId="77777777" w:rsidR="00490ABA" w:rsidRPr="00197F0C" w:rsidRDefault="00490ABA" w:rsidP="00857222">
            <w:pPr>
              <w:spacing w:after="0" w:line="240" w:lineRule="auto"/>
              <w:jc w:val="center"/>
              <w:rPr>
                <w:sz w:val="22"/>
              </w:rPr>
            </w:pPr>
            <w:r w:rsidRPr="00197F0C">
              <w:rPr>
                <w:sz w:val="22"/>
              </w:rPr>
              <w:t>8,5</w:t>
            </w:r>
          </w:p>
        </w:tc>
      </w:tr>
      <w:tr w:rsidR="00051A69" w:rsidRPr="00197F0C" w14:paraId="472716B0" w14:textId="77777777" w:rsidTr="00B91DD9">
        <w:trPr>
          <w:trHeight w:val="187"/>
        </w:trPr>
        <w:tc>
          <w:tcPr>
            <w:tcW w:w="2469" w:type="dxa"/>
            <w:vMerge/>
            <w:vAlign w:val="center"/>
            <w:hideMark/>
          </w:tcPr>
          <w:p w14:paraId="76CDCDB9" w14:textId="77777777" w:rsidR="00490ABA" w:rsidRPr="00197F0C" w:rsidRDefault="00490ABA" w:rsidP="00197F0C">
            <w:pPr>
              <w:spacing w:after="0" w:line="240" w:lineRule="auto"/>
              <w:rPr>
                <w:sz w:val="22"/>
              </w:rPr>
            </w:pPr>
          </w:p>
        </w:tc>
        <w:tc>
          <w:tcPr>
            <w:tcW w:w="690" w:type="dxa"/>
            <w:shd w:val="clear" w:color="auto" w:fill="auto"/>
            <w:vAlign w:val="center"/>
            <w:hideMark/>
          </w:tcPr>
          <w:p w14:paraId="505A1928" w14:textId="77777777" w:rsidR="00490ABA" w:rsidRPr="00197F0C" w:rsidRDefault="00490ABA" w:rsidP="00197F0C">
            <w:pPr>
              <w:spacing w:after="0" w:line="240" w:lineRule="auto"/>
              <w:rPr>
                <w:sz w:val="22"/>
              </w:rPr>
            </w:pPr>
            <w:r w:rsidRPr="00197F0C">
              <w:rPr>
                <w:sz w:val="22"/>
              </w:rPr>
              <w:t>2014</w:t>
            </w:r>
          </w:p>
        </w:tc>
        <w:tc>
          <w:tcPr>
            <w:tcW w:w="1803" w:type="dxa"/>
            <w:shd w:val="clear" w:color="auto" w:fill="auto"/>
            <w:vAlign w:val="center"/>
            <w:hideMark/>
          </w:tcPr>
          <w:p w14:paraId="2B84038D" w14:textId="77777777" w:rsidR="00490ABA" w:rsidRPr="00197F0C" w:rsidRDefault="00490ABA" w:rsidP="00857222">
            <w:pPr>
              <w:spacing w:after="0" w:line="240" w:lineRule="auto"/>
              <w:jc w:val="center"/>
              <w:rPr>
                <w:sz w:val="22"/>
              </w:rPr>
            </w:pPr>
            <w:r w:rsidRPr="00197F0C">
              <w:rPr>
                <w:sz w:val="22"/>
              </w:rPr>
              <w:t>82,7</w:t>
            </w:r>
          </w:p>
        </w:tc>
        <w:tc>
          <w:tcPr>
            <w:tcW w:w="850" w:type="dxa"/>
            <w:shd w:val="clear" w:color="auto" w:fill="auto"/>
            <w:noWrap/>
            <w:vAlign w:val="center"/>
            <w:hideMark/>
          </w:tcPr>
          <w:p w14:paraId="028900E8" w14:textId="77777777" w:rsidR="00490ABA" w:rsidRPr="00197F0C" w:rsidRDefault="00490ABA" w:rsidP="00AF2C20">
            <w:pPr>
              <w:spacing w:after="0" w:line="240" w:lineRule="auto"/>
              <w:jc w:val="center"/>
              <w:rPr>
                <w:sz w:val="22"/>
              </w:rPr>
            </w:pPr>
            <w:r w:rsidRPr="00197F0C">
              <w:rPr>
                <w:sz w:val="22"/>
              </w:rPr>
              <w:t>72,0</w:t>
            </w:r>
          </w:p>
        </w:tc>
        <w:tc>
          <w:tcPr>
            <w:tcW w:w="1701" w:type="dxa"/>
            <w:shd w:val="clear" w:color="auto" w:fill="auto"/>
            <w:noWrap/>
            <w:vAlign w:val="center"/>
            <w:hideMark/>
          </w:tcPr>
          <w:p w14:paraId="5CF47F19" w14:textId="77777777" w:rsidR="00490ABA" w:rsidRPr="00197F0C" w:rsidRDefault="00490ABA" w:rsidP="00857222">
            <w:pPr>
              <w:spacing w:after="0" w:line="240" w:lineRule="auto"/>
              <w:jc w:val="center"/>
              <w:rPr>
                <w:sz w:val="22"/>
              </w:rPr>
            </w:pPr>
            <w:r w:rsidRPr="00197F0C">
              <w:rPr>
                <w:sz w:val="22"/>
              </w:rPr>
              <w:t>35,5</w:t>
            </w:r>
          </w:p>
        </w:tc>
        <w:tc>
          <w:tcPr>
            <w:tcW w:w="1701" w:type="dxa"/>
            <w:shd w:val="clear" w:color="auto" w:fill="auto"/>
            <w:noWrap/>
            <w:vAlign w:val="center"/>
            <w:hideMark/>
          </w:tcPr>
          <w:p w14:paraId="2ABCD27A" w14:textId="77777777" w:rsidR="00490ABA" w:rsidRPr="00197F0C" w:rsidRDefault="00490ABA" w:rsidP="00857222">
            <w:pPr>
              <w:spacing w:after="0" w:line="240" w:lineRule="auto"/>
              <w:jc w:val="center"/>
              <w:rPr>
                <w:sz w:val="22"/>
              </w:rPr>
            </w:pPr>
            <w:r w:rsidRPr="00197F0C">
              <w:rPr>
                <w:sz w:val="22"/>
              </w:rPr>
              <w:t>19,0</w:t>
            </w:r>
          </w:p>
        </w:tc>
        <w:tc>
          <w:tcPr>
            <w:tcW w:w="1701" w:type="dxa"/>
            <w:shd w:val="clear" w:color="auto" w:fill="auto"/>
            <w:noWrap/>
            <w:vAlign w:val="center"/>
            <w:hideMark/>
          </w:tcPr>
          <w:p w14:paraId="28E36E7C" w14:textId="77777777" w:rsidR="00490ABA" w:rsidRPr="00197F0C" w:rsidRDefault="00490ABA" w:rsidP="00857222">
            <w:pPr>
              <w:spacing w:after="0" w:line="240" w:lineRule="auto"/>
              <w:jc w:val="center"/>
              <w:rPr>
                <w:sz w:val="22"/>
              </w:rPr>
            </w:pPr>
            <w:r w:rsidRPr="00197F0C">
              <w:rPr>
                <w:sz w:val="22"/>
              </w:rPr>
              <w:t>15,1</w:t>
            </w:r>
          </w:p>
        </w:tc>
        <w:tc>
          <w:tcPr>
            <w:tcW w:w="1701" w:type="dxa"/>
            <w:shd w:val="clear" w:color="auto" w:fill="auto"/>
            <w:noWrap/>
            <w:vAlign w:val="center"/>
            <w:hideMark/>
          </w:tcPr>
          <w:p w14:paraId="38124E8F" w14:textId="77777777" w:rsidR="00490ABA" w:rsidRPr="00197F0C" w:rsidRDefault="00490ABA" w:rsidP="00857222">
            <w:pPr>
              <w:spacing w:after="0" w:line="240" w:lineRule="auto"/>
              <w:jc w:val="center"/>
              <w:rPr>
                <w:sz w:val="22"/>
              </w:rPr>
            </w:pPr>
            <w:r w:rsidRPr="00197F0C">
              <w:rPr>
                <w:sz w:val="22"/>
              </w:rPr>
              <w:t>2,4</w:t>
            </w:r>
          </w:p>
        </w:tc>
        <w:tc>
          <w:tcPr>
            <w:tcW w:w="1418" w:type="dxa"/>
            <w:shd w:val="clear" w:color="auto" w:fill="auto"/>
            <w:noWrap/>
            <w:vAlign w:val="center"/>
            <w:hideMark/>
          </w:tcPr>
          <w:p w14:paraId="315C90AD" w14:textId="77777777" w:rsidR="00490ABA" w:rsidRPr="00197F0C" w:rsidRDefault="00490ABA" w:rsidP="00857222">
            <w:pPr>
              <w:spacing w:after="0" w:line="240" w:lineRule="auto"/>
              <w:jc w:val="center"/>
              <w:rPr>
                <w:sz w:val="22"/>
              </w:rPr>
            </w:pPr>
            <w:r w:rsidRPr="00197F0C">
              <w:rPr>
                <w:sz w:val="22"/>
              </w:rPr>
              <w:t>10,7</w:t>
            </w:r>
          </w:p>
        </w:tc>
      </w:tr>
      <w:tr w:rsidR="00660572" w:rsidRPr="00197F0C" w14:paraId="36BA2D0A" w14:textId="77777777" w:rsidTr="00B91DD9">
        <w:trPr>
          <w:trHeight w:val="275"/>
        </w:trPr>
        <w:tc>
          <w:tcPr>
            <w:tcW w:w="14034" w:type="dxa"/>
            <w:gridSpan w:val="9"/>
            <w:shd w:val="clear" w:color="auto" w:fill="DEEAF6" w:themeFill="accent1" w:themeFillTint="33"/>
            <w:vAlign w:val="center"/>
            <w:hideMark/>
          </w:tcPr>
          <w:p w14:paraId="6C954D0F" w14:textId="56233799" w:rsidR="00660572" w:rsidRPr="00197F0C" w:rsidRDefault="00660572" w:rsidP="00AF2C20">
            <w:pPr>
              <w:spacing w:after="0" w:line="240" w:lineRule="auto"/>
              <w:jc w:val="center"/>
              <w:rPr>
                <w:sz w:val="22"/>
              </w:rPr>
            </w:pPr>
            <w:r w:rsidRPr="00197F0C">
              <w:rPr>
                <w:sz w:val="22"/>
              </w:rPr>
              <w:t>Przychody ogółem</w:t>
            </w:r>
          </w:p>
        </w:tc>
      </w:tr>
      <w:tr w:rsidR="00051A69" w:rsidRPr="00197F0C" w14:paraId="5ADC2861" w14:textId="77777777" w:rsidTr="00B91DD9">
        <w:trPr>
          <w:trHeight w:val="146"/>
        </w:trPr>
        <w:tc>
          <w:tcPr>
            <w:tcW w:w="2469" w:type="dxa"/>
            <w:vMerge w:val="restart"/>
            <w:shd w:val="clear" w:color="auto" w:fill="auto"/>
            <w:vAlign w:val="center"/>
            <w:hideMark/>
          </w:tcPr>
          <w:p w14:paraId="1F5EA463" w14:textId="77777777" w:rsidR="00490ABA" w:rsidRPr="00197F0C" w:rsidRDefault="00490ABA" w:rsidP="00857222">
            <w:pPr>
              <w:spacing w:after="0" w:line="240" w:lineRule="auto"/>
              <w:jc w:val="left"/>
              <w:rPr>
                <w:sz w:val="22"/>
              </w:rPr>
            </w:pPr>
            <w:r w:rsidRPr="00197F0C">
              <w:rPr>
                <w:sz w:val="22"/>
              </w:rPr>
              <w:t>Organizacje wykazujące przychody (%)</w:t>
            </w:r>
          </w:p>
        </w:tc>
        <w:tc>
          <w:tcPr>
            <w:tcW w:w="690" w:type="dxa"/>
            <w:shd w:val="clear" w:color="auto" w:fill="auto"/>
            <w:noWrap/>
            <w:vAlign w:val="center"/>
            <w:hideMark/>
          </w:tcPr>
          <w:p w14:paraId="0CD535F2" w14:textId="77777777" w:rsidR="00490ABA" w:rsidRPr="00197F0C" w:rsidRDefault="00490ABA" w:rsidP="00197F0C">
            <w:pPr>
              <w:spacing w:after="0" w:line="240" w:lineRule="auto"/>
              <w:rPr>
                <w:sz w:val="22"/>
              </w:rPr>
            </w:pPr>
            <w:r w:rsidRPr="00197F0C">
              <w:rPr>
                <w:sz w:val="22"/>
              </w:rPr>
              <w:t>2010</w:t>
            </w:r>
          </w:p>
        </w:tc>
        <w:tc>
          <w:tcPr>
            <w:tcW w:w="1803" w:type="dxa"/>
            <w:shd w:val="clear" w:color="auto" w:fill="auto"/>
            <w:vAlign w:val="center"/>
            <w:hideMark/>
          </w:tcPr>
          <w:p w14:paraId="6A833F6E" w14:textId="77777777" w:rsidR="00490ABA" w:rsidRPr="00197F0C" w:rsidRDefault="00490ABA" w:rsidP="00857222">
            <w:pPr>
              <w:spacing w:after="0" w:line="240" w:lineRule="auto"/>
              <w:jc w:val="center"/>
              <w:rPr>
                <w:sz w:val="22"/>
              </w:rPr>
            </w:pPr>
            <w:r w:rsidRPr="00197F0C">
              <w:rPr>
                <w:sz w:val="22"/>
              </w:rPr>
              <w:t>90</w:t>
            </w:r>
          </w:p>
        </w:tc>
        <w:tc>
          <w:tcPr>
            <w:tcW w:w="850" w:type="dxa"/>
            <w:shd w:val="clear" w:color="auto" w:fill="auto"/>
            <w:vAlign w:val="center"/>
            <w:hideMark/>
          </w:tcPr>
          <w:p w14:paraId="482559D8" w14:textId="77777777" w:rsidR="00490ABA" w:rsidRPr="00197F0C" w:rsidRDefault="00490ABA" w:rsidP="00AF2C20">
            <w:pPr>
              <w:spacing w:after="0" w:line="240" w:lineRule="auto"/>
              <w:jc w:val="center"/>
              <w:rPr>
                <w:sz w:val="22"/>
              </w:rPr>
            </w:pPr>
            <w:r w:rsidRPr="00197F0C">
              <w:rPr>
                <w:sz w:val="22"/>
              </w:rPr>
              <w:t>90</w:t>
            </w:r>
          </w:p>
        </w:tc>
        <w:tc>
          <w:tcPr>
            <w:tcW w:w="1701" w:type="dxa"/>
            <w:shd w:val="clear" w:color="auto" w:fill="auto"/>
            <w:vAlign w:val="center"/>
            <w:hideMark/>
          </w:tcPr>
          <w:p w14:paraId="5BF4891C" w14:textId="77777777" w:rsidR="00490ABA" w:rsidRPr="00197F0C" w:rsidRDefault="00490ABA" w:rsidP="00857222">
            <w:pPr>
              <w:spacing w:after="0" w:line="240" w:lineRule="auto"/>
              <w:jc w:val="center"/>
              <w:rPr>
                <w:sz w:val="22"/>
              </w:rPr>
            </w:pPr>
            <w:r w:rsidRPr="00197F0C">
              <w:rPr>
                <w:sz w:val="22"/>
              </w:rPr>
              <w:t>93</w:t>
            </w:r>
          </w:p>
        </w:tc>
        <w:tc>
          <w:tcPr>
            <w:tcW w:w="1701" w:type="dxa"/>
            <w:shd w:val="clear" w:color="auto" w:fill="auto"/>
            <w:vAlign w:val="center"/>
            <w:hideMark/>
          </w:tcPr>
          <w:p w14:paraId="4F3CE89D" w14:textId="77777777" w:rsidR="00490ABA" w:rsidRPr="00197F0C" w:rsidRDefault="00490ABA" w:rsidP="00857222">
            <w:pPr>
              <w:spacing w:after="0" w:line="240" w:lineRule="auto"/>
              <w:jc w:val="center"/>
              <w:rPr>
                <w:sz w:val="22"/>
              </w:rPr>
            </w:pPr>
            <w:r w:rsidRPr="00197F0C">
              <w:rPr>
                <w:sz w:val="22"/>
              </w:rPr>
              <w:t>84</w:t>
            </w:r>
          </w:p>
        </w:tc>
        <w:tc>
          <w:tcPr>
            <w:tcW w:w="1701" w:type="dxa"/>
            <w:shd w:val="clear" w:color="auto" w:fill="auto"/>
            <w:vAlign w:val="center"/>
            <w:hideMark/>
          </w:tcPr>
          <w:p w14:paraId="6EB4A906" w14:textId="77777777" w:rsidR="00490ABA" w:rsidRPr="00197F0C" w:rsidRDefault="00490ABA" w:rsidP="00857222">
            <w:pPr>
              <w:spacing w:after="0" w:line="240" w:lineRule="auto"/>
              <w:jc w:val="center"/>
              <w:rPr>
                <w:sz w:val="22"/>
              </w:rPr>
            </w:pPr>
            <w:r w:rsidRPr="00197F0C">
              <w:rPr>
                <w:sz w:val="22"/>
              </w:rPr>
              <w:t>89</w:t>
            </w:r>
          </w:p>
        </w:tc>
        <w:tc>
          <w:tcPr>
            <w:tcW w:w="1701" w:type="dxa"/>
            <w:shd w:val="clear" w:color="auto" w:fill="auto"/>
            <w:vAlign w:val="center"/>
            <w:hideMark/>
          </w:tcPr>
          <w:p w14:paraId="23C52ACA" w14:textId="77777777" w:rsidR="00490ABA" w:rsidRPr="00197F0C" w:rsidRDefault="00490ABA" w:rsidP="00857222">
            <w:pPr>
              <w:spacing w:after="0" w:line="240" w:lineRule="auto"/>
              <w:jc w:val="center"/>
              <w:rPr>
                <w:sz w:val="22"/>
              </w:rPr>
            </w:pPr>
            <w:r w:rsidRPr="00197F0C">
              <w:rPr>
                <w:sz w:val="22"/>
              </w:rPr>
              <w:t>100</w:t>
            </w:r>
          </w:p>
        </w:tc>
        <w:tc>
          <w:tcPr>
            <w:tcW w:w="1418" w:type="dxa"/>
            <w:shd w:val="clear" w:color="auto" w:fill="auto"/>
            <w:vAlign w:val="center"/>
            <w:hideMark/>
          </w:tcPr>
          <w:p w14:paraId="5E075887" w14:textId="77777777" w:rsidR="00490ABA" w:rsidRPr="00197F0C" w:rsidRDefault="00490ABA" w:rsidP="00857222">
            <w:pPr>
              <w:spacing w:after="0" w:line="240" w:lineRule="auto"/>
              <w:jc w:val="center"/>
              <w:rPr>
                <w:sz w:val="22"/>
              </w:rPr>
            </w:pPr>
            <w:r w:rsidRPr="00197F0C">
              <w:rPr>
                <w:sz w:val="22"/>
              </w:rPr>
              <w:t>92</w:t>
            </w:r>
          </w:p>
        </w:tc>
      </w:tr>
      <w:tr w:rsidR="00051A69" w:rsidRPr="00197F0C" w14:paraId="37293508" w14:textId="77777777" w:rsidTr="00B91DD9">
        <w:trPr>
          <w:trHeight w:val="175"/>
        </w:trPr>
        <w:tc>
          <w:tcPr>
            <w:tcW w:w="2469" w:type="dxa"/>
            <w:vMerge/>
            <w:vAlign w:val="center"/>
            <w:hideMark/>
          </w:tcPr>
          <w:p w14:paraId="4B05FC4F" w14:textId="77777777" w:rsidR="00490ABA" w:rsidRPr="00197F0C" w:rsidRDefault="00490ABA" w:rsidP="00857222">
            <w:pPr>
              <w:spacing w:after="0" w:line="240" w:lineRule="auto"/>
              <w:jc w:val="left"/>
              <w:rPr>
                <w:sz w:val="22"/>
              </w:rPr>
            </w:pPr>
          </w:p>
        </w:tc>
        <w:tc>
          <w:tcPr>
            <w:tcW w:w="690" w:type="dxa"/>
            <w:shd w:val="clear" w:color="auto" w:fill="auto"/>
            <w:vAlign w:val="center"/>
            <w:hideMark/>
          </w:tcPr>
          <w:p w14:paraId="3FAD5231" w14:textId="77777777" w:rsidR="00490ABA" w:rsidRPr="00197F0C" w:rsidRDefault="00490ABA" w:rsidP="00197F0C">
            <w:pPr>
              <w:spacing w:after="0" w:line="240" w:lineRule="auto"/>
              <w:rPr>
                <w:sz w:val="22"/>
              </w:rPr>
            </w:pPr>
            <w:r w:rsidRPr="00197F0C">
              <w:rPr>
                <w:sz w:val="22"/>
              </w:rPr>
              <w:t>2012</w:t>
            </w:r>
          </w:p>
        </w:tc>
        <w:tc>
          <w:tcPr>
            <w:tcW w:w="1803" w:type="dxa"/>
            <w:shd w:val="clear" w:color="auto" w:fill="auto"/>
            <w:noWrap/>
            <w:vAlign w:val="center"/>
            <w:hideMark/>
          </w:tcPr>
          <w:p w14:paraId="7737066D" w14:textId="77777777" w:rsidR="00490ABA" w:rsidRPr="00197F0C" w:rsidRDefault="00490ABA" w:rsidP="00857222">
            <w:pPr>
              <w:spacing w:after="0" w:line="240" w:lineRule="auto"/>
              <w:jc w:val="center"/>
              <w:rPr>
                <w:sz w:val="22"/>
              </w:rPr>
            </w:pPr>
            <w:r w:rsidRPr="00197F0C">
              <w:rPr>
                <w:sz w:val="22"/>
              </w:rPr>
              <w:t>91</w:t>
            </w:r>
          </w:p>
        </w:tc>
        <w:tc>
          <w:tcPr>
            <w:tcW w:w="850" w:type="dxa"/>
            <w:shd w:val="clear" w:color="auto" w:fill="auto"/>
            <w:noWrap/>
            <w:vAlign w:val="center"/>
            <w:hideMark/>
          </w:tcPr>
          <w:p w14:paraId="14FE81A1" w14:textId="77777777" w:rsidR="00490ABA" w:rsidRPr="00197F0C" w:rsidRDefault="00490ABA" w:rsidP="00AF2C20">
            <w:pPr>
              <w:spacing w:after="0" w:line="240" w:lineRule="auto"/>
              <w:jc w:val="center"/>
              <w:rPr>
                <w:sz w:val="22"/>
              </w:rPr>
            </w:pPr>
            <w:r w:rsidRPr="00197F0C">
              <w:rPr>
                <w:sz w:val="22"/>
              </w:rPr>
              <w:t>90</w:t>
            </w:r>
          </w:p>
        </w:tc>
        <w:tc>
          <w:tcPr>
            <w:tcW w:w="1701" w:type="dxa"/>
            <w:shd w:val="clear" w:color="auto" w:fill="auto"/>
            <w:noWrap/>
            <w:vAlign w:val="center"/>
            <w:hideMark/>
          </w:tcPr>
          <w:p w14:paraId="02BFC50D" w14:textId="77777777" w:rsidR="00490ABA" w:rsidRPr="00197F0C" w:rsidRDefault="00490ABA" w:rsidP="00857222">
            <w:pPr>
              <w:spacing w:after="0" w:line="240" w:lineRule="auto"/>
              <w:jc w:val="center"/>
              <w:rPr>
                <w:sz w:val="22"/>
              </w:rPr>
            </w:pPr>
            <w:r w:rsidRPr="00197F0C">
              <w:rPr>
                <w:sz w:val="22"/>
              </w:rPr>
              <w:t>93</w:t>
            </w:r>
          </w:p>
        </w:tc>
        <w:tc>
          <w:tcPr>
            <w:tcW w:w="1701" w:type="dxa"/>
            <w:shd w:val="clear" w:color="auto" w:fill="auto"/>
            <w:noWrap/>
            <w:vAlign w:val="center"/>
            <w:hideMark/>
          </w:tcPr>
          <w:p w14:paraId="11F722BF" w14:textId="77777777" w:rsidR="00490ABA" w:rsidRPr="00197F0C" w:rsidRDefault="00490ABA" w:rsidP="00857222">
            <w:pPr>
              <w:spacing w:after="0" w:line="240" w:lineRule="auto"/>
              <w:jc w:val="center"/>
              <w:rPr>
                <w:sz w:val="22"/>
              </w:rPr>
            </w:pPr>
            <w:r w:rsidRPr="00197F0C">
              <w:rPr>
                <w:sz w:val="22"/>
              </w:rPr>
              <w:t>84</w:t>
            </w:r>
          </w:p>
        </w:tc>
        <w:tc>
          <w:tcPr>
            <w:tcW w:w="1701" w:type="dxa"/>
            <w:shd w:val="clear" w:color="auto" w:fill="auto"/>
            <w:noWrap/>
            <w:vAlign w:val="center"/>
            <w:hideMark/>
          </w:tcPr>
          <w:p w14:paraId="50FCB482" w14:textId="77777777" w:rsidR="00490ABA" w:rsidRPr="00197F0C" w:rsidRDefault="00490ABA" w:rsidP="00857222">
            <w:pPr>
              <w:spacing w:after="0" w:line="240" w:lineRule="auto"/>
              <w:jc w:val="center"/>
              <w:rPr>
                <w:sz w:val="22"/>
              </w:rPr>
            </w:pPr>
            <w:r w:rsidRPr="00197F0C">
              <w:rPr>
                <w:sz w:val="22"/>
              </w:rPr>
              <w:t>92</w:t>
            </w:r>
          </w:p>
        </w:tc>
        <w:tc>
          <w:tcPr>
            <w:tcW w:w="1701" w:type="dxa"/>
            <w:shd w:val="clear" w:color="auto" w:fill="auto"/>
            <w:noWrap/>
            <w:vAlign w:val="center"/>
            <w:hideMark/>
          </w:tcPr>
          <w:p w14:paraId="09A5B5C6" w14:textId="77777777" w:rsidR="00490ABA" w:rsidRPr="00197F0C" w:rsidRDefault="00490ABA" w:rsidP="00857222">
            <w:pPr>
              <w:spacing w:after="0" w:line="240" w:lineRule="auto"/>
              <w:jc w:val="center"/>
              <w:rPr>
                <w:sz w:val="22"/>
              </w:rPr>
            </w:pPr>
            <w:r w:rsidRPr="00197F0C">
              <w:rPr>
                <w:sz w:val="22"/>
              </w:rPr>
              <w:t>100</w:t>
            </w:r>
          </w:p>
        </w:tc>
        <w:tc>
          <w:tcPr>
            <w:tcW w:w="1418" w:type="dxa"/>
            <w:shd w:val="clear" w:color="auto" w:fill="auto"/>
            <w:noWrap/>
            <w:vAlign w:val="center"/>
            <w:hideMark/>
          </w:tcPr>
          <w:p w14:paraId="353B188A" w14:textId="77777777" w:rsidR="00490ABA" w:rsidRPr="00197F0C" w:rsidRDefault="00490ABA" w:rsidP="00857222">
            <w:pPr>
              <w:spacing w:after="0" w:line="240" w:lineRule="auto"/>
              <w:jc w:val="center"/>
              <w:rPr>
                <w:sz w:val="22"/>
              </w:rPr>
            </w:pPr>
            <w:r w:rsidRPr="00197F0C">
              <w:rPr>
                <w:sz w:val="22"/>
              </w:rPr>
              <w:t>91</w:t>
            </w:r>
          </w:p>
        </w:tc>
      </w:tr>
      <w:tr w:rsidR="00051A69" w:rsidRPr="00197F0C" w14:paraId="43D72012" w14:textId="77777777" w:rsidTr="00B91DD9">
        <w:trPr>
          <w:trHeight w:val="103"/>
        </w:trPr>
        <w:tc>
          <w:tcPr>
            <w:tcW w:w="2469" w:type="dxa"/>
            <w:vMerge/>
            <w:vAlign w:val="center"/>
            <w:hideMark/>
          </w:tcPr>
          <w:p w14:paraId="42E45803" w14:textId="77777777" w:rsidR="00490ABA" w:rsidRPr="00197F0C" w:rsidRDefault="00490ABA" w:rsidP="00857222">
            <w:pPr>
              <w:spacing w:after="0" w:line="240" w:lineRule="auto"/>
              <w:jc w:val="left"/>
              <w:rPr>
                <w:sz w:val="22"/>
              </w:rPr>
            </w:pPr>
          </w:p>
        </w:tc>
        <w:tc>
          <w:tcPr>
            <w:tcW w:w="690" w:type="dxa"/>
            <w:shd w:val="clear" w:color="auto" w:fill="auto"/>
            <w:vAlign w:val="center"/>
            <w:hideMark/>
          </w:tcPr>
          <w:p w14:paraId="4D113857" w14:textId="77777777" w:rsidR="00490ABA" w:rsidRPr="00197F0C" w:rsidRDefault="00490ABA" w:rsidP="00197F0C">
            <w:pPr>
              <w:spacing w:after="0" w:line="240" w:lineRule="auto"/>
              <w:rPr>
                <w:sz w:val="22"/>
              </w:rPr>
            </w:pPr>
            <w:r w:rsidRPr="00197F0C">
              <w:rPr>
                <w:sz w:val="22"/>
              </w:rPr>
              <w:t>2014</w:t>
            </w:r>
          </w:p>
        </w:tc>
        <w:tc>
          <w:tcPr>
            <w:tcW w:w="1803" w:type="dxa"/>
            <w:shd w:val="clear" w:color="auto" w:fill="auto"/>
            <w:noWrap/>
            <w:vAlign w:val="center"/>
            <w:hideMark/>
          </w:tcPr>
          <w:p w14:paraId="28AB45DC" w14:textId="77777777" w:rsidR="00490ABA" w:rsidRPr="00197F0C" w:rsidRDefault="00490ABA" w:rsidP="00857222">
            <w:pPr>
              <w:spacing w:after="0" w:line="240" w:lineRule="auto"/>
              <w:jc w:val="center"/>
              <w:rPr>
                <w:sz w:val="22"/>
              </w:rPr>
            </w:pPr>
            <w:r w:rsidRPr="00197F0C">
              <w:rPr>
                <w:sz w:val="22"/>
              </w:rPr>
              <w:t>91</w:t>
            </w:r>
          </w:p>
        </w:tc>
        <w:tc>
          <w:tcPr>
            <w:tcW w:w="850" w:type="dxa"/>
            <w:shd w:val="clear" w:color="auto" w:fill="auto"/>
            <w:noWrap/>
            <w:vAlign w:val="center"/>
            <w:hideMark/>
          </w:tcPr>
          <w:p w14:paraId="4DA3E41C" w14:textId="77777777" w:rsidR="00490ABA" w:rsidRPr="00197F0C" w:rsidRDefault="00490ABA" w:rsidP="00AF2C20">
            <w:pPr>
              <w:spacing w:after="0" w:line="240" w:lineRule="auto"/>
              <w:jc w:val="center"/>
              <w:rPr>
                <w:sz w:val="22"/>
              </w:rPr>
            </w:pPr>
            <w:r w:rsidRPr="00197F0C">
              <w:rPr>
                <w:sz w:val="22"/>
              </w:rPr>
              <w:t>91</w:t>
            </w:r>
          </w:p>
        </w:tc>
        <w:tc>
          <w:tcPr>
            <w:tcW w:w="1701" w:type="dxa"/>
            <w:shd w:val="clear" w:color="auto" w:fill="auto"/>
            <w:noWrap/>
            <w:vAlign w:val="center"/>
            <w:hideMark/>
          </w:tcPr>
          <w:p w14:paraId="2372E230" w14:textId="77777777" w:rsidR="00490ABA" w:rsidRPr="00197F0C" w:rsidRDefault="00490ABA" w:rsidP="00857222">
            <w:pPr>
              <w:spacing w:after="0" w:line="240" w:lineRule="auto"/>
              <w:jc w:val="center"/>
              <w:rPr>
                <w:sz w:val="22"/>
              </w:rPr>
            </w:pPr>
            <w:r w:rsidRPr="00197F0C">
              <w:rPr>
                <w:sz w:val="22"/>
              </w:rPr>
              <w:t>93</w:t>
            </w:r>
          </w:p>
        </w:tc>
        <w:tc>
          <w:tcPr>
            <w:tcW w:w="1701" w:type="dxa"/>
            <w:shd w:val="clear" w:color="auto" w:fill="auto"/>
            <w:noWrap/>
            <w:vAlign w:val="center"/>
            <w:hideMark/>
          </w:tcPr>
          <w:p w14:paraId="095C0104" w14:textId="77777777" w:rsidR="00490ABA" w:rsidRPr="00197F0C" w:rsidRDefault="00490ABA" w:rsidP="00857222">
            <w:pPr>
              <w:spacing w:after="0" w:line="240" w:lineRule="auto"/>
              <w:jc w:val="center"/>
              <w:rPr>
                <w:sz w:val="22"/>
              </w:rPr>
            </w:pPr>
            <w:r w:rsidRPr="00197F0C">
              <w:rPr>
                <w:sz w:val="22"/>
              </w:rPr>
              <w:t>84</w:t>
            </w:r>
          </w:p>
        </w:tc>
        <w:tc>
          <w:tcPr>
            <w:tcW w:w="1701" w:type="dxa"/>
            <w:shd w:val="clear" w:color="auto" w:fill="auto"/>
            <w:noWrap/>
            <w:vAlign w:val="center"/>
            <w:hideMark/>
          </w:tcPr>
          <w:p w14:paraId="299FA50F" w14:textId="77777777" w:rsidR="00490ABA" w:rsidRPr="00197F0C" w:rsidRDefault="00490ABA" w:rsidP="00857222">
            <w:pPr>
              <w:spacing w:after="0" w:line="240" w:lineRule="auto"/>
              <w:jc w:val="center"/>
              <w:rPr>
                <w:sz w:val="22"/>
              </w:rPr>
            </w:pPr>
            <w:r w:rsidRPr="00197F0C">
              <w:rPr>
                <w:sz w:val="22"/>
              </w:rPr>
              <w:t>92</w:t>
            </w:r>
          </w:p>
        </w:tc>
        <w:tc>
          <w:tcPr>
            <w:tcW w:w="1701" w:type="dxa"/>
            <w:shd w:val="clear" w:color="auto" w:fill="auto"/>
            <w:noWrap/>
            <w:vAlign w:val="center"/>
            <w:hideMark/>
          </w:tcPr>
          <w:p w14:paraId="6C8C0989" w14:textId="77777777" w:rsidR="00490ABA" w:rsidRPr="00197F0C" w:rsidRDefault="00490ABA" w:rsidP="00857222">
            <w:pPr>
              <w:spacing w:after="0" w:line="240" w:lineRule="auto"/>
              <w:jc w:val="center"/>
              <w:rPr>
                <w:sz w:val="22"/>
              </w:rPr>
            </w:pPr>
            <w:r w:rsidRPr="00197F0C">
              <w:rPr>
                <w:sz w:val="22"/>
              </w:rPr>
              <w:t>100</w:t>
            </w:r>
          </w:p>
        </w:tc>
        <w:tc>
          <w:tcPr>
            <w:tcW w:w="1418" w:type="dxa"/>
            <w:shd w:val="clear" w:color="auto" w:fill="auto"/>
            <w:noWrap/>
            <w:vAlign w:val="center"/>
            <w:hideMark/>
          </w:tcPr>
          <w:p w14:paraId="5356CBD9" w14:textId="77777777" w:rsidR="00490ABA" w:rsidRPr="00197F0C" w:rsidRDefault="00490ABA" w:rsidP="00857222">
            <w:pPr>
              <w:spacing w:after="0" w:line="240" w:lineRule="auto"/>
              <w:jc w:val="center"/>
              <w:rPr>
                <w:sz w:val="22"/>
              </w:rPr>
            </w:pPr>
            <w:r w:rsidRPr="00197F0C">
              <w:rPr>
                <w:sz w:val="22"/>
              </w:rPr>
              <w:t>90</w:t>
            </w:r>
          </w:p>
        </w:tc>
      </w:tr>
      <w:tr w:rsidR="00051A69" w:rsidRPr="00197F0C" w14:paraId="18354B5E" w14:textId="77777777" w:rsidTr="00B91DD9">
        <w:trPr>
          <w:trHeight w:val="203"/>
        </w:trPr>
        <w:tc>
          <w:tcPr>
            <w:tcW w:w="2469" w:type="dxa"/>
            <w:vMerge w:val="restart"/>
            <w:shd w:val="clear" w:color="auto" w:fill="DEEAF6" w:themeFill="accent1" w:themeFillTint="33"/>
            <w:vAlign w:val="center"/>
            <w:hideMark/>
          </w:tcPr>
          <w:p w14:paraId="2EF61D05" w14:textId="77777777" w:rsidR="00490ABA" w:rsidRPr="00197F0C" w:rsidRDefault="00490ABA" w:rsidP="00857222">
            <w:pPr>
              <w:spacing w:after="0" w:line="240" w:lineRule="auto"/>
              <w:jc w:val="left"/>
              <w:rPr>
                <w:sz w:val="22"/>
              </w:rPr>
            </w:pPr>
            <w:r w:rsidRPr="00197F0C">
              <w:rPr>
                <w:sz w:val="22"/>
              </w:rPr>
              <w:t xml:space="preserve">Całkowita suma przychodów </w:t>
            </w:r>
          </w:p>
          <w:p w14:paraId="32C4116C" w14:textId="77777777" w:rsidR="00490ABA" w:rsidRPr="00197F0C" w:rsidRDefault="00490ABA" w:rsidP="00857222">
            <w:pPr>
              <w:spacing w:after="0" w:line="240" w:lineRule="auto"/>
              <w:jc w:val="left"/>
              <w:rPr>
                <w:sz w:val="22"/>
              </w:rPr>
            </w:pPr>
            <w:r w:rsidRPr="00197F0C">
              <w:rPr>
                <w:sz w:val="22"/>
              </w:rPr>
              <w:t>(mld zł)</w:t>
            </w:r>
          </w:p>
        </w:tc>
        <w:tc>
          <w:tcPr>
            <w:tcW w:w="690" w:type="dxa"/>
            <w:shd w:val="clear" w:color="auto" w:fill="DEEAF6" w:themeFill="accent1" w:themeFillTint="33"/>
            <w:noWrap/>
            <w:vAlign w:val="center"/>
            <w:hideMark/>
          </w:tcPr>
          <w:p w14:paraId="26DD3673" w14:textId="77777777" w:rsidR="00490ABA" w:rsidRPr="00197F0C" w:rsidRDefault="00490ABA" w:rsidP="00197F0C">
            <w:pPr>
              <w:spacing w:after="0" w:line="240" w:lineRule="auto"/>
              <w:rPr>
                <w:sz w:val="22"/>
              </w:rPr>
            </w:pPr>
            <w:r w:rsidRPr="00197F0C">
              <w:rPr>
                <w:sz w:val="22"/>
              </w:rPr>
              <w:t>2010</w:t>
            </w:r>
          </w:p>
        </w:tc>
        <w:tc>
          <w:tcPr>
            <w:tcW w:w="1803" w:type="dxa"/>
            <w:shd w:val="clear" w:color="auto" w:fill="DEEAF6" w:themeFill="accent1" w:themeFillTint="33"/>
            <w:noWrap/>
            <w:vAlign w:val="center"/>
            <w:hideMark/>
          </w:tcPr>
          <w:p w14:paraId="0F7EA7EE" w14:textId="77777777" w:rsidR="00490ABA" w:rsidRPr="00197F0C" w:rsidRDefault="00490ABA" w:rsidP="00857222">
            <w:pPr>
              <w:spacing w:after="0" w:line="240" w:lineRule="auto"/>
              <w:jc w:val="center"/>
              <w:rPr>
                <w:sz w:val="22"/>
              </w:rPr>
            </w:pPr>
            <w:r w:rsidRPr="00197F0C">
              <w:rPr>
                <w:sz w:val="22"/>
              </w:rPr>
              <w:t>18,1</w:t>
            </w:r>
          </w:p>
        </w:tc>
        <w:tc>
          <w:tcPr>
            <w:tcW w:w="850" w:type="dxa"/>
            <w:shd w:val="clear" w:color="auto" w:fill="DEEAF6" w:themeFill="accent1" w:themeFillTint="33"/>
            <w:noWrap/>
            <w:vAlign w:val="center"/>
            <w:hideMark/>
          </w:tcPr>
          <w:p w14:paraId="08FD1A40" w14:textId="77777777" w:rsidR="00490ABA" w:rsidRPr="00197F0C" w:rsidRDefault="00490ABA" w:rsidP="00AF2C20">
            <w:pPr>
              <w:spacing w:after="0" w:line="240" w:lineRule="auto"/>
              <w:jc w:val="center"/>
              <w:rPr>
                <w:sz w:val="22"/>
              </w:rPr>
            </w:pPr>
            <w:r w:rsidRPr="00197F0C">
              <w:rPr>
                <w:sz w:val="22"/>
              </w:rPr>
              <w:t>12,5</w:t>
            </w:r>
          </w:p>
        </w:tc>
        <w:tc>
          <w:tcPr>
            <w:tcW w:w="1701" w:type="dxa"/>
            <w:shd w:val="clear" w:color="auto" w:fill="DEEAF6" w:themeFill="accent1" w:themeFillTint="33"/>
            <w:noWrap/>
            <w:vAlign w:val="center"/>
            <w:hideMark/>
          </w:tcPr>
          <w:p w14:paraId="70E4B2FB" w14:textId="77777777" w:rsidR="00490ABA" w:rsidRPr="00197F0C" w:rsidRDefault="00490ABA" w:rsidP="00857222">
            <w:pPr>
              <w:spacing w:after="0" w:line="240" w:lineRule="auto"/>
              <w:jc w:val="center"/>
              <w:rPr>
                <w:sz w:val="22"/>
              </w:rPr>
            </w:pPr>
            <w:r w:rsidRPr="00197F0C">
              <w:rPr>
                <w:sz w:val="22"/>
              </w:rPr>
              <w:t>9,3</w:t>
            </w:r>
          </w:p>
        </w:tc>
        <w:tc>
          <w:tcPr>
            <w:tcW w:w="1701" w:type="dxa"/>
            <w:shd w:val="clear" w:color="auto" w:fill="DEEAF6" w:themeFill="accent1" w:themeFillTint="33"/>
            <w:noWrap/>
            <w:vAlign w:val="center"/>
            <w:hideMark/>
          </w:tcPr>
          <w:p w14:paraId="10B34E0F" w14:textId="77777777" w:rsidR="00490ABA" w:rsidRPr="00197F0C" w:rsidRDefault="00490ABA" w:rsidP="00857222">
            <w:pPr>
              <w:spacing w:after="0" w:line="240" w:lineRule="auto"/>
              <w:jc w:val="center"/>
              <w:rPr>
                <w:sz w:val="22"/>
              </w:rPr>
            </w:pPr>
            <w:r w:rsidRPr="00197F0C">
              <w:rPr>
                <w:sz w:val="22"/>
              </w:rPr>
              <w:t>2,5</w:t>
            </w:r>
          </w:p>
        </w:tc>
        <w:tc>
          <w:tcPr>
            <w:tcW w:w="1701" w:type="dxa"/>
            <w:shd w:val="clear" w:color="auto" w:fill="DEEAF6" w:themeFill="accent1" w:themeFillTint="33"/>
            <w:noWrap/>
            <w:vAlign w:val="center"/>
            <w:hideMark/>
          </w:tcPr>
          <w:p w14:paraId="49C64720" w14:textId="77777777" w:rsidR="00490ABA" w:rsidRPr="00197F0C" w:rsidRDefault="00490ABA" w:rsidP="00857222">
            <w:pPr>
              <w:spacing w:after="0" w:line="240" w:lineRule="auto"/>
              <w:jc w:val="center"/>
              <w:rPr>
                <w:sz w:val="22"/>
              </w:rPr>
            </w:pPr>
            <w:r w:rsidRPr="00197F0C">
              <w:rPr>
                <w:sz w:val="22"/>
              </w:rPr>
              <w:t>0,4</w:t>
            </w:r>
          </w:p>
        </w:tc>
        <w:tc>
          <w:tcPr>
            <w:tcW w:w="1701" w:type="dxa"/>
            <w:shd w:val="clear" w:color="auto" w:fill="DEEAF6" w:themeFill="accent1" w:themeFillTint="33"/>
            <w:noWrap/>
            <w:vAlign w:val="center"/>
            <w:hideMark/>
          </w:tcPr>
          <w:p w14:paraId="56A380DF" w14:textId="77777777" w:rsidR="00490ABA" w:rsidRPr="00197F0C" w:rsidRDefault="00490ABA" w:rsidP="00857222">
            <w:pPr>
              <w:spacing w:after="0" w:line="240" w:lineRule="auto"/>
              <w:jc w:val="center"/>
              <w:rPr>
                <w:sz w:val="22"/>
              </w:rPr>
            </w:pPr>
            <w:r w:rsidRPr="00197F0C">
              <w:rPr>
                <w:sz w:val="22"/>
              </w:rPr>
              <w:t>0,3</w:t>
            </w:r>
          </w:p>
        </w:tc>
        <w:tc>
          <w:tcPr>
            <w:tcW w:w="1418" w:type="dxa"/>
            <w:shd w:val="clear" w:color="auto" w:fill="DEEAF6" w:themeFill="accent1" w:themeFillTint="33"/>
            <w:noWrap/>
            <w:vAlign w:val="center"/>
            <w:hideMark/>
          </w:tcPr>
          <w:p w14:paraId="5993DA94" w14:textId="77777777" w:rsidR="00490ABA" w:rsidRPr="00197F0C" w:rsidRDefault="00490ABA" w:rsidP="00857222">
            <w:pPr>
              <w:spacing w:after="0" w:line="240" w:lineRule="auto"/>
              <w:jc w:val="center"/>
              <w:rPr>
                <w:sz w:val="22"/>
              </w:rPr>
            </w:pPr>
            <w:r w:rsidRPr="00197F0C">
              <w:rPr>
                <w:sz w:val="22"/>
              </w:rPr>
              <w:t>5,6</w:t>
            </w:r>
          </w:p>
        </w:tc>
      </w:tr>
      <w:tr w:rsidR="00051A69" w:rsidRPr="00197F0C" w14:paraId="22584A3D" w14:textId="77777777" w:rsidTr="00B91DD9">
        <w:trPr>
          <w:trHeight w:val="75"/>
        </w:trPr>
        <w:tc>
          <w:tcPr>
            <w:tcW w:w="2469" w:type="dxa"/>
            <w:vMerge/>
            <w:shd w:val="clear" w:color="auto" w:fill="DEEAF6" w:themeFill="accent1" w:themeFillTint="33"/>
            <w:vAlign w:val="center"/>
            <w:hideMark/>
          </w:tcPr>
          <w:p w14:paraId="4F990254" w14:textId="77777777" w:rsidR="00490ABA" w:rsidRPr="00197F0C" w:rsidRDefault="00490ABA" w:rsidP="00857222">
            <w:pPr>
              <w:spacing w:after="0" w:line="240" w:lineRule="auto"/>
              <w:jc w:val="left"/>
              <w:rPr>
                <w:sz w:val="22"/>
              </w:rPr>
            </w:pPr>
          </w:p>
        </w:tc>
        <w:tc>
          <w:tcPr>
            <w:tcW w:w="690" w:type="dxa"/>
            <w:shd w:val="clear" w:color="auto" w:fill="DEEAF6" w:themeFill="accent1" w:themeFillTint="33"/>
            <w:vAlign w:val="center"/>
            <w:hideMark/>
          </w:tcPr>
          <w:p w14:paraId="3BFB3EA9" w14:textId="77777777" w:rsidR="00490ABA" w:rsidRPr="00197F0C" w:rsidRDefault="00490ABA" w:rsidP="00197F0C">
            <w:pPr>
              <w:spacing w:after="0" w:line="240" w:lineRule="auto"/>
              <w:rPr>
                <w:sz w:val="22"/>
              </w:rPr>
            </w:pPr>
            <w:r w:rsidRPr="00197F0C">
              <w:rPr>
                <w:sz w:val="22"/>
              </w:rPr>
              <w:t>2012</w:t>
            </w:r>
          </w:p>
        </w:tc>
        <w:tc>
          <w:tcPr>
            <w:tcW w:w="1803" w:type="dxa"/>
            <w:shd w:val="clear" w:color="auto" w:fill="DEEAF6" w:themeFill="accent1" w:themeFillTint="33"/>
            <w:noWrap/>
            <w:vAlign w:val="center"/>
            <w:hideMark/>
          </w:tcPr>
          <w:p w14:paraId="309FB3AF" w14:textId="77777777" w:rsidR="00490ABA" w:rsidRPr="00197F0C" w:rsidRDefault="00490ABA" w:rsidP="00857222">
            <w:pPr>
              <w:spacing w:after="0" w:line="240" w:lineRule="auto"/>
              <w:jc w:val="center"/>
              <w:rPr>
                <w:sz w:val="22"/>
              </w:rPr>
            </w:pPr>
            <w:r w:rsidRPr="00197F0C">
              <w:rPr>
                <w:sz w:val="22"/>
              </w:rPr>
              <w:t>18,7</w:t>
            </w:r>
          </w:p>
        </w:tc>
        <w:tc>
          <w:tcPr>
            <w:tcW w:w="850" w:type="dxa"/>
            <w:shd w:val="clear" w:color="auto" w:fill="DEEAF6" w:themeFill="accent1" w:themeFillTint="33"/>
            <w:noWrap/>
            <w:vAlign w:val="center"/>
            <w:hideMark/>
          </w:tcPr>
          <w:p w14:paraId="79BD15B1" w14:textId="77777777" w:rsidR="00490ABA" w:rsidRPr="00197F0C" w:rsidRDefault="00490ABA" w:rsidP="00AF2C20">
            <w:pPr>
              <w:spacing w:after="0" w:line="240" w:lineRule="auto"/>
              <w:jc w:val="center"/>
              <w:rPr>
                <w:sz w:val="22"/>
              </w:rPr>
            </w:pPr>
            <w:r w:rsidRPr="00197F0C">
              <w:rPr>
                <w:sz w:val="22"/>
              </w:rPr>
              <w:t>12,7</w:t>
            </w:r>
          </w:p>
        </w:tc>
        <w:tc>
          <w:tcPr>
            <w:tcW w:w="1701" w:type="dxa"/>
            <w:shd w:val="clear" w:color="auto" w:fill="DEEAF6" w:themeFill="accent1" w:themeFillTint="33"/>
            <w:noWrap/>
            <w:vAlign w:val="center"/>
            <w:hideMark/>
          </w:tcPr>
          <w:p w14:paraId="65F60E53" w14:textId="77777777" w:rsidR="00490ABA" w:rsidRPr="00197F0C" w:rsidRDefault="00490ABA" w:rsidP="00857222">
            <w:pPr>
              <w:spacing w:after="0" w:line="240" w:lineRule="auto"/>
              <w:jc w:val="center"/>
              <w:rPr>
                <w:sz w:val="22"/>
              </w:rPr>
            </w:pPr>
            <w:r w:rsidRPr="00197F0C">
              <w:rPr>
                <w:sz w:val="22"/>
              </w:rPr>
              <w:t>9,0</w:t>
            </w:r>
          </w:p>
        </w:tc>
        <w:tc>
          <w:tcPr>
            <w:tcW w:w="1701" w:type="dxa"/>
            <w:shd w:val="clear" w:color="auto" w:fill="DEEAF6" w:themeFill="accent1" w:themeFillTint="33"/>
            <w:noWrap/>
            <w:vAlign w:val="center"/>
            <w:hideMark/>
          </w:tcPr>
          <w:p w14:paraId="2B907D11" w14:textId="77777777" w:rsidR="00490ABA" w:rsidRPr="00197F0C" w:rsidRDefault="00490ABA" w:rsidP="00857222">
            <w:pPr>
              <w:spacing w:after="0" w:line="240" w:lineRule="auto"/>
              <w:jc w:val="center"/>
              <w:rPr>
                <w:sz w:val="22"/>
              </w:rPr>
            </w:pPr>
            <w:r w:rsidRPr="00197F0C">
              <w:rPr>
                <w:sz w:val="22"/>
              </w:rPr>
              <w:t>2,9</w:t>
            </w:r>
          </w:p>
        </w:tc>
        <w:tc>
          <w:tcPr>
            <w:tcW w:w="1701" w:type="dxa"/>
            <w:shd w:val="clear" w:color="auto" w:fill="DEEAF6" w:themeFill="accent1" w:themeFillTint="33"/>
            <w:noWrap/>
            <w:vAlign w:val="center"/>
            <w:hideMark/>
          </w:tcPr>
          <w:p w14:paraId="611AB2C4" w14:textId="77777777" w:rsidR="00490ABA" w:rsidRPr="00197F0C" w:rsidRDefault="00490ABA" w:rsidP="00857222">
            <w:pPr>
              <w:spacing w:after="0" w:line="240" w:lineRule="auto"/>
              <w:jc w:val="center"/>
              <w:rPr>
                <w:sz w:val="22"/>
              </w:rPr>
            </w:pPr>
            <w:r w:rsidRPr="00197F0C">
              <w:rPr>
                <w:sz w:val="22"/>
              </w:rPr>
              <w:t>0,4</w:t>
            </w:r>
          </w:p>
        </w:tc>
        <w:tc>
          <w:tcPr>
            <w:tcW w:w="1701" w:type="dxa"/>
            <w:shd w:val="clear" w:color="auto" w:fill="DEEAF6" w:themeFill="accent1" w:themeFillTint="33"/>
            <w:noWrap/>
            <w:vAlign w:val="center"/>
            <w:hideMark/>
          </w:tcPr>
          <w:p w14:paraId="5848EEE1" w14:textId="77777777" w:rsidR="00490ABA" w:rsidRPr="00197F0C" w:rsidRDefault="00490ABA" w:rsidP="00857222">
            <w:pPr>
              <w:spacing w:after="0" w:line="240" w:lineRule="auto"/>
              <w:jc w:val="center"/>
              <w:rPr>
                <w:sz w:val="22"/>
              </w:rPr>
            </w:pPr>
            <w:r w:rsidRPr="00197F0C">
              <w:rPr>
                <w:sz w:val="22"/>
              </w:rPr>
              <w:t>0,3</w:t>
            </w:r>
          </w:p>
        </w:tc>
        <w:tc>
          <w:tcPr>
            <w:tcW w:w="1418" w:type="dxa"/>
            <w:shd w:val="clear" w:color="auto" w:fill="DEEAF6" w:themeFill="accent1" w:themeFillTint="33"/>
            <w:noWrap/>
            <w:vAlign w:val="center"/>
            <w:hideMark/>
          </w:tcPr>
          <w:p w14:paraId="01011A3D" w14:textId="77777777" w:rsidR="00490ABA" w:rsidRPr="00197F0C" w:rsidRDefault="00490ABA" w:rsidP="00857222">
            <w:pPr>
              <w:spacing w:after="0" w:line="240" w:lineRule="auto"/>
              <w:jc w:val="center"/>
              <w:rPr>
                <w:sz w:val="22"/>
              </w:rPr>
            </w:pPr>
            <w:r w:rsidRPr="00197F0C">
              <w:rPr>
                <w:sz w:val="22"/>
              </w:rPr>
              <w:t>6,0</w:t>
            </w:r>
          </w:p>
        </w:tc>
      </w:tr>
      <w:tr w:rsidR="00051A69" w:rsidRPr="00197F0C" w14:paraId="4707CE79" w14:textId="77777777" w:rsidTr="00B91DD9">
        <w:trPr>
          <w:trHeight w:val="162"/>
        </w:trPr>
        <w:tc>
          <w:tcPr>
            <w:tcW w:w="2469" w:type="dxa"/>
            <w:vMerge/>
            <w:shd w:val="clear" w:color="auto" w:fill="DEEAF6" w:themeFill="accent1" w:themeFillTint="33"/>
            <w:vAlign w:val="center"/>
            <w:hideMark/>
          </w:tcPr>
          <w:p w14:paraId="3024C2DB" w14:textId="77777777" w:rsidR="00490ABA" w:rsidRPr="00197F0C" w:rsidRDefault="00490ABA" w:rsidP="00857222">
            <w:pPr>
              <w:spacing w:after="0" w:line="240" w:lineRule="auto"/>
              <w:jc w:val="left"/>
              <w:rPr>
                <w:sz w:val="22"/>
              </w:rPr>
            </w:pPr>
          </w:p>
        </w:tc>
        <w:tc>
          <w:tcPr>
            <w:tcW w:w="690" w:type="dxa"/>
            <w:shd w:val="clear" w:color="auto" w:fill="DEEAF6" w:themeFill="accent1" w:themeFillTint="33"/>
            <w:vAlign w:val="center"/>
            <w:hideMark/>
          </w:tcPr>
          <w:p w14:paraId="0D540F7C" w14:textId="77777777" w:rsidR="00490ABA" w:rsidRPr="00197F0C" w:rsidRDefault="00490ABA" w:rsidP="00197F0C">
            <w:pPr>
              <w:spacing w:after="0" w:line="240" w:lineRule="auto"/>
              <w:rPr>
                <w:sz w:val="22"/>
              </w:rPr>
            </w:pPr>
            <w:r w:rsidRPr="00197F0C">
              <w:rPr>
                <w:sz w:val="22"/>
              </w:rPr>
              <w:t>2014</w:t>
            </w:r>
          </w:p>
        </w:tc>
        <w:tc>
          <w:tcPr>
            <w:tcW w:w="1803" w:type="dxa"/>
            <w:shd w:val="clear" w:color="auto" w:fill="DEEAF6" w:themeFill="accent1" w:themeFillTint="33"/>
            <w:noWrap/>
            <w:vAlign w:val="center"/>
            <w:hideMark/>
          </w:tcPr>
          <w:p w14:paraId="6CE2C18D" w14:textId="77777777" w:rsidR="00490ABA" w:rsidRPr="00197F0C" w:rsidRDefault="00490ABA" w:rsidP="00857222">
            <w:pPr>
              <w:spacing w:after="0" w:line="240" w:lineRule="auto"/>
              <w:jc w:val="center"/>
              <w:rPr>
                <w:sz w:val="22"/>
              </w:rPr>
            </w:pPr>
            <w:r w:rsidRPr="00197F0C">
              <w:rPr>
                <w:sz w:val="22"/>
              </w:rPr>
              <w:t>19,9</w:t>
            </w:r>
          </w:p>
        </w:tc>
        <w:tc>
          <w:tcPr>
            <w:tcW w:w="850" w:type="dxa"/>
            <w:shd w:val="clear" w:color="auto" w:fill="DEEAF6" w:themeFill="accent1" w:themeFillTint="33"/>
            <w:noWrap/>
            <w:vAlign w:val="center"/>
            <w:hideMark/>
          </w:tcPr>
          <w:p w14:paraId="52283AF1" w14:textId="77777777" w:rsidR="00490ABA" w:rsidRPr="00197F0C" w:rsidRDefault="00490ABA" w:rsidP="00AF2C20">
            <w:pPr>
              <w:spacing w:after="0" w:line="240" w:lineRule="auto"/>
              <w:jc w:val="center"/>
              <w:rPr>
                <w:sz w:val="22"/>
              </w:rPr>
            </w:pPr>
            <w:r w:rsidRPr="00197F0C">
              <w:rPr>
                <w:sz w:val="22"/>
              </w:rPr>
              <w:t>13,4</w:t>
            </w:r>
          </w:p>
        </w:tc>
        <w:tc>
          <w:tcPr>
            <w:tcW w:w="1701" w:type="dxa"/>
            <w:shd w:val="clear" w:color="auto" w:fill="DEEAF6" w:themeFill="accent1" w:themeFillTint="33"/>
            <w:noWrap/>
            <w:vAlign w:val="center"/>
            <w:hideMark/>
          </w:tcPr>
          <w:p w14:paraId="6C6A0365" w14:textId="77777777" w:rsidR="00490ABA" w:rsidRPr="00197F0C" w:rsidRDefault="00490ABA" w:rsidP="00857222">
            <w:pPr>
              <w:spacing w:after="0" w:line="240" w:lineRule="auto"/>
              <w:jc w:val="center"/>
              <w:rPr>
                <w:sz w:val="22"/>
              </w:rPr>
            </w:pPr>
            <w:r w:rsidRPr="00197F0C">
              <w:rPr>
                <w:sz w:val="22"/>
              </w:rPr>
              <w:t>10,1</w:t>
            </w:r>
          </w:p>
        </w:tc>
        <w:tc>
          <w:tcPr>
            <w:tcW w:w="1701" w:type="dxa"/>
            <w:shd w:val="clear" w:color="auto" w:fill="DEEAF6" w:themeFill="accent1" w:themeFillTint="33"/>
            <w:noWrap/>
            <w:vAlign w:val="center"/>
            <w:hideMark/>
          </w:tcPr>
          <w:p w14:paraId="3A111D59" w14:textId="77777777" w:rsidR="00490ABA" w:rsidRPr="00197F0C" w:rsidRDefault="00490ABA" w:rsidP="00857222">
            <w:pPr>
              <w:spacing w:after="0" w:line="240" w:lineRule="auto"/>
              <w:jc w:val="center"/>
              <w:rPr>
                <w:sz w:val="22"/>
              </w:rPr>
            </w:pPr>
            <w:r w:rsidRPr="00197F0C">
              <w:rPr>
                <w:sz w:val="22"/>
              </w:rPr>
              <w:t>2,5</w:t>
            </w:r>
          </w:p>
        </w:tc>
        <w:tc>
          <w:tcPr>
            <w:tcW w:w="1701" w:type="dxa"/>
            <w:shd w:val="clear" w:color="auto" w:fill="DEEAF6" w:themeFill="accent1" w:themeFillTint="33"/>
            <w:noWrap/>
            <w:vAlign w:val="center"/>
            <w:hideMark/>
          </w:tcPr>
          <w:p w14:paraId="3D9FA949" w14:textId="77777777" w:rsidR="00490ABA" w:rsidRPr="00197F0C" w:rsidRDefault="00490ABA" w:rsidP="00857222">
            <w:pPr>
              <w:spacing w:after="0" w:line="240" w:lineRule="auto"/>
              <w:jc w:val="center"/>
              <w:rPr>
                <w:sz w:val="22"/>
              </w:rPr>
            </w:pPr>
            <w:r w:rsidRPr="00197F0C">
              <w:rPr>
                <w:sz w:val="22"/>
              </w:rPr>
              <w:t>0,4</w:t>
            </w:r>
          </w:p>
        </w:tc>
        <w:tc>
          <w:tcPr>
            <w:tcW w:w="1701" w:type="dxa"/>
            <w:shd w:val="clear" w:color="auto" w:fill="DEEAF6" w:themeFill="accent1" w:themeFillTint="33"/>
            <w:noWrap/>
            <w:vAlign w:val="center"/>
            <w:hideMark/>
          </w:tcPr>
          <w:p w14:paraId="312E3A13" w14:textId="77777777" w:rsidR="00490ABA" w:rsidRPr="00197F0C" w:rsidRDefault="00490ABA" w:rsidP="00857222">
            <w:pPr>
              <w:spacing w:after="0" w:line="240" w:lineRule="auto"/>
              <w:jc w:val="center"/>
              <w:rPr>
                <w:sz w:val="22"/>
              </w:rPr>
            </w:pPr>
            <w:r w:rsidRPr="00197F0C">
              <w:rPr>
                <w:sz w:val="22"/>
              </w:rPr>
              <w:t>0,4</w:t>
            </w:r>
          </w:p>
        </w:tc>
        <w:tc>
          <w:tcPr>
            <w:tcW w:w="1418" w:type="dxa"/>
            <w:shd w:val="clear" w:color="auto" w:fill="DEEAF6" w:themeFill="accent1" w:themeFillTint="33"/>
            <w:noWrap/>
            <w:vAlign w:val="center"/>
            <w:hideMark/>
          </w:tcPr>
          <w:p w14:paraId="5576BB99" w14:textId="77777777" w:rsidR="00490ABA" w:rsidRPr="00197F0C" w:rsidRDefault="00490ABA" w:rsidP="00857222">
            <w:pPr>
              <w:spacing w:after="0" w:line="240" w:lineRule="auto"/>
              <w:jc w:val="center"/>
              <w:rPr>
                <w:sz w:val="22"/>
              </w:rPr>
            </w:pPr>
            <w:r w:rsidRPr="00197F0C">
              <w:rPr>
                <w:sz w:val="22"/>
              </w:rPr>
              <w:t>6,5</w:t>
            </w:r>
          </w:p>
        </w:tc>
      </w:tr>
      <w:tr w:rsidR="00051A69" w:rsidRPr="00197F0C" w14:paraId="0310DC84" w14:textId="77777777" w:rsidTr="00B91DD9">
        <w:trPr>
          <w:trHeight w:val="198"/>
        </w:trPr>
        <w:tc>
          <w:tcPr>
            <w:tcW w:w="2469" w:type="dxa"/>
            <w:vMerge w:val="restart"/>
            <w:shd w:val="clear" w:color="auto" w:fill="auto"/>
            <w:vAlign w:val="center"/>
            <w:hideMark/>
          </w:tcPr>
          <w:p w14:paraId="1188D565" w14:textId="5AAC726E" w:rsidR="00490ABA" w:rsidRPr="00197F0C" w:rsidRDefault="00490ABA" w:rsidP="00857222">
            <w:pPr>
              <w:spacing w:after="0" w:line="240" w:lineRule="auto"/>
              <w:jc w:val="left"/>
              <w:rPr>
                <w:sz w:val="22"/>
              </w:rPr>
            </w:pPr>
            <w:r w:rsidRPr="00197F0C">
              <w:rPr>
                <w:sz w:val="22"/>
              </w:rPr>
              <w:t xml:space="preserve">Średnia przychodów </w:t>
            </w:r>
            <w:r w:rsidR="00B91DD9">
              <w:rPr>
                <w:sz w:val="22"/>
              </w:rPr>
              <w:br/>
            </w:r>
            <w:r w:rsidRPr="00197F0C">
              <w:rPr>
                <w:sz w:val="22"/>
              </w:rPr>
              <w:t>dla wszystkich aktywnych organizacji (tys. zł)</w:t>
            </w:r>
          </w:p>
        </w:tc>
        <w:tc>
          <w:tcPr>
            <w:tcW w:w="690" w:type="dxa"/>
            <w:shd w:val="clear" w:color="auto" w:fill="auto"/>
            <w:noWrap/>
            <w:vAlign w:val="center"/>
            <w:hideMark/>
          </w:tcPr>
          <w:p w14:paraId="496F4A93" w14:textId="77777777" w:rsidR="00490ABA" w:rsidRPr="00197F0C" w:rsidRDefault="00490ABA" w:rsidP="00197F0C">
            <w:pPr>
              <w:spacing w:after="0" w:line="240" w:lineRule="auto"/>
              <w:rPr>
                <w:sz w:val="22"/>
              </w:rPr>
            </w:pPr>
            <w:r w:rsidRPr="00197F0C">
              <w:rPr>
                <w:sz w:val="22"/>
              </w:rPr>
              <w:t>2010</w:t>
            </w:r>
          </w:p>
        </w:tc>
        <w:tc>
          <w:tcPr>
            <w:tcW w:w="1803" w:type="dxa"/>
            <w:shd w:val="clear" w:color="auto" w:fill="auto"/>
            <w:noWrap/>
            <w:vAlign w:val="center"/>
            <w:hideMark/>
          </w:tcPr>
          <w:p w14:paraId="4D8CBCCC" w14:textId="77777777" w:rsidR="00490ABA" w:rsidRPr="00197F0C" w:rsidRDefault="00490ABA" w:rsidP="00857222">
            <w:pPr>
              <w:spacing w:after="0" w:line="240" w:lineRule="auto"/>
              <w:jc w:val="center"/>
              <w:rPr>
                <w:sz w:val="22"/>
              </w:rPr>
            </w:pPr>
            <w:r w:rsidRPr="00197F0C">
              <w:rPr>
                <w:sz w:val="22"/>
              </w:rPr>
              <w:t>240,9</w:t>
            </w:r>
          </w:p>
        </w:tc>
        <w:tc>
          <w:tcPr>
            <w:tcW w:w="850" w:type="dxa"/>
            <w:shd w:val="clear" w:color="auto" w:fill="auto"/>
            <w:noWrap/>
            <w:vAlign w:val="center"/>
            <w:hideMark/>
          </w:tcPr>
          <w:p w14:paraId="2B33BE52" w14:textId="77777777" w:rsidR="00490ABA" w:rsidRPr="00197F0C" w:rsidRDefault="00490ABA" w:rsidP="00AF2C20">
            <w:pPr>
              <w:spacing w:after="0" w:line="240" w:lineRule="auto"/>
              <w:jc w:val="center"/>
              <w:rPr>
                <w:sz w:val="22"/>
              </w:rPr>
            </w:pPr>
            <w:r w:rsidRPr="00197F0C">
              <w:rPr>
                <w:sz w:val="22"/>
              </w:rPr>
              <w:t>184,2</w:t>
            </w:r>
          </w:p>
        </w:tc>
        <w:tc>
          <w:tcPr>
            <w:tcW w:w="1701" w:type="dxa"/>
            <w:shd w:val="clear" w:color="auto" w:fill="auto"/>
            <w:noWrap/>
            <w:vAlign w:val="center"/>
            <w:hideMark/>
          </w:tcPr>
          <w:p w14:paraId="7B190BF4" w14:textId="77777777" w:rsidR="00490ABA" w:rsidRPr="00197F0C" w:rsidRDefault="00490ABA" w:rsidP="00857222">
            <w:pPr>
              <w:spacing w:after="0" w:line="240" w:lineRule="auto"/>
              <w:jc w:val="center"/>
              <w:rPr>
                <w:sz w:val="22"/>
              </w:rPr>
            </w:pPr>
            <w:r w:rsidRPr="00197F0C">
              <w:rPr>
                <w:sz w:val="22"/>
              </w:rPr>
              <w:t>290,0</w:t>
            </w:r>
          </w:p>
        </w:tc>
        <w:tc>
          <w:tcPr>
            <w:tcW w:w="1701" w:type="dxa"/>
            <w:shd w:val="clear" w:color="auto" w:fill="auto"/>
            <w:noWrap/>
            <w:vAlign w:val="center"/>
            <w:hideMark/>
          </w:tcPr>
          <w:p w14:paraId="0AEC8A60" w14:textId="77777777" w:rsidR="00490ABA" w:rsidRPr="00197F0C" w:rsidRDefault="00490ABA" w:rsidP="00857222">
            <w:pPr>
              <w:spacing w:after="0" w:line="240" w:lineRule="auto"/>
              <w:jc w:val="center"/>
              <w:rPr>
                <w:sz w:val="22"/>
              </w:rPr>
            </w:pPr>
            <w:r w:rsidRPr="00197F0C">
              <w:rPr>
                <w:sz w:val="22"/>
              </w:rPr>
              <w:t>136,0</w:t>
            </w:r>
          </w:p>
        </w:tc>
        <w:tc>
          <w:tcPr>
            <w:tcW w:w="1701" w:type="dxa"/>
            <w:shd w:val="clear" w:color="auto" w:fill="auto"/>
            <w:noWrap/>
            <w:vAlign w:val="center"/>
            <w:hideMark/>
          </w:tcPr>
          <w:p w14:paraId="2F854CBC" w14:textId="77777777" w:rsidR="00490ABA" w:rsidRPr="00197F0C" w:rsidRDefault="00490ABA" w:rsidP="00857222">
            <w:pPr>
              <w:spacing w:after="0" w:line="240" w:lineRule="auto"/>
              <w:jc w:val="center"/>
              <w:rPr>
                <w:sz w:val="22"/>
              </w:rPr>
            </w:pPr>
            <w:r w:rsidRPr="00197F0C">
              <w:rPr>
                <w:sz w:val="22"/>
              </w:rPr>
              <w:t>27,6</w:t>
            </w:r>
          </w:p>
        </w:tc>
        <w:tc>
          <w:tcPr>
            <w:tcW w:w="1701" w:type="dxa"/>
            <w:shd w:val="clear" w:color="auto" w:fill="auto"/>
            <w:noWrap/>
            <w:vAlign w:val="center"/>
            <w:hideMark/>
          </w:tcPr>
          <w:p w14:paraId="27DD8331" w14:textId="77777777" w:rsidR="00490ABA" w:rsidRPr="00197F0C" w:rsidRDefault="00490ABA" w:rsidP="00857222">
            <w:pPr>
              <w:spacing w:after="0" w:line="240" w:lineRule="auto"/>
              <w:jc w:val="center"/>
              <w:rPr>
                <w:sz w:val="22"/>
              </w:rPr>
            </w:pPr>
            <w:r w:rsidRPr="00197F0C">
              <w:rPr>
                <w:sz w:val="22"/>
              </w:rPr>
              <w:t>106,6</w:t>
            </w:r>
          </w:p>
        </w:tc>
        <w:tc>
          <w:tcPr>
            <w:tcW w:w="1418" w:type="dxa"/>
            <w:shd w:val="clear" w:color="auto" w:fill="auto"/>
            <w:noWrap/>
            <w:vAlign w:val="center"/>
            <w:hideMark/>
          </w:tcPr>
          <w:p w14:paraId="77FEBFCC" w14:textId="77777777" w:rsidR="00490ABA" w:rsidRPr="00197F0C" w:rsidRDefault="00490ABA" w:rsidP="00857222">
            <w:pPr>
              <w:spacing w:after="0" w:line="240" w:lineRule="auto"/>
              <w:jc w:val="center"/>
              <w:rPr>
                <w:sz w:val="22"/>
              </w:rPr>
            </w:pPr>
            <w:r w:rsidRPr="00197F0C">
              <w:rPr>
                <w:sz w:val="22"/>
              </w:rPr>
              <w:t>782,1</w:t>
            </w:r>
          </w:p>
        </w:tc>
      </w:tr>
      <w:tr w:rsidR="00051A69" w:rsidRPr="00197F0C" w14:paraId="635B2328" w14:textId="77777777" w:rsidTr="00B91DD9">
        <w:trPr>
          <w:trHeight w:val="104"/>
        </w:trPr>
        <w:tc>
          <w:tcPr>
            <w:tcW w:w="2469" w:type="dxa"/>
            <w:vMerge/>
            <w:vAlign w:val="center"/>
            <w:hideMark/>
          </w:tcPr>
          <w:p w14:paraId="38E85A8B" w14:textId="77777777" w:rsidR="00490ABA" w:rsidRPr="00197F0C" w:rsidRDefault="00490ABA" w:rsidP="00857222">
            <w:pPr>
              <w:spacing w:after="0" w:line="240" w:lineRule="auto"/>
              <w:jc w:val="left"/>
              <w:rPr>
                <w:sz w:val="22"/>
              </w:rPr>
            </w:pPr>
          </w:p>
        </w:tc>
        <w:tc>
          <w:tcPr>
            <w:tcW w:w="690" w:type="dxa"/>
            <w:shd w:val="clear" w:color="auto" w:fill="auto"/>
            <w:vAlign w:val="center"/>
            <w:hideMark/>
          </w:tcPr>
          <w:p w14:paraId="44E64EE1" w14:textId="77777777" w:rsidR="00490ABA" w:rsidRPr="00197F0C" w:rsidRDefault="00490ABA" w:rsidP="00197F0C">
            <w:pPr>
              <w:spacing w:after="0" w:line="240" w:lineRule="auto"/>
              <w:rPr>
                <w:sz w:val="22"/>
              </w:rPr>
            </w:pPr>
            <w:r w:rsidRPr="00197F0C">
              <w:rPr>
                <w:sz w:val="22"/>
              </w:rPr>
              <w:t>2012</w:t>
            </w:r>
          </w:p>
        </w:tc>
        <w:tc>
          <w:tcPr>
            <w:tcW w:w="1803" w:type="dxa"/>
            <w:shd w:val="clear" w:color="auto" w:fill="auto"/>
            <w:noWrap/>
            <w:vAlign w:val="center"/>
            <w:hideMark/>
          </w:tcPr>
          <w:p w14:paraId="526CEA0D" w14:textId="77777777" w:rsidR="00490ABA" w:rsidRPr="00197F0C" w:rsidRDefault="00490ABA" w:rsidP="00857222">
            <w:pPr>
              <w:spacing w:after="0" w:line="240" w:lineRule="auto"/>
              <w:jc w:val="center"/>
              <w:rPr>
                <w:sz w:val="22"/>
              </w:rPr>
            </w:pPr>
            <w:r w:rsidRPr="00197F0C">
              <w:rPr>
                <w:sz w:val="22"/>
              </w:rPr>
              <w:t>240,7</w:t>
            </w:r>
          </w:p>
        </w:tc>
        <w:tc>
          <w:tcPr>
            <w:tcW w:w="850" w:type="dxa"/>
            <w:shd w:val="clear" w:color="auto" w:fill="auto"/>
            <w:noWrap/>
            <w:vAlign w:val="center"/>
            <w:hideMark/>
          </w:tcPr>
          <w:p w14:paraId="375BC62C" w14:textId="77777777" w:rsidR="00490ABA" w:rsidRPr="00197F0C" w:rsidRDefault="00490ABA" w:rsidP="00AF2C20">
            <w:pPr>
              <w:spacing w:after="0" w:line="240" w:lineRule="auto"/>
              <w:jc w:val="center"/>
              <w:rPr>
                <w:sz w:val="22"/>
              </w:rPr>
            </w:pPr>
            <w:r w:rsidRPr="00197F0C">
              <w:rPr>
                <w:sz w:val="22"/>
              </w:rPr>
              <w:t>182,5</w:t>
            </w:r>
          </w:p>
        </w:tc>
        <w:tc>
          <w:tcPr>
            <w:tcW w:w="1701" w:type="dxa"/>
            <w:shd w:val="clear" w:color="auto" w:fill="auto"/>
            <w:noWrap/>
            <w:vAlign w:val="center"/>
            <w:hideMark/>
          </w:tcPr>
          <w:p w14:paraId="56CE4A78" w14:textId="77777777" w:rsidR="00490ABA" w:rsidRPr="00197F0C" w:rsidRDefault="00490ABA" w:rsidP="00857222">
            <w:pPr>
              <w:spacing w:after="0" w:line="240" w:lineRule="auto"/>
              <w:jc w:val="center"/>
              <w:rPr>
                <w:sz w:val="22"/>
              </w:rPr>
            </w:pPr>
            <w:r w:rsidRPr="00197F0C">
              <w:rPr>
                <w:sz w:val="22"/>
              </w:rPr>
              <w:t>278,3</w:t>
            </w:r>
          </w:p>
        </w:tc>
        <w:tc>
          <w:tcPr>
            <w:tcW w:w="1701" w:type="dxa"/>
            <w:shd w:val="clear" w:color="auto" w:fill="auto"/>
            <w:noWrap/>
            <w:vAlign w:val="center"/>
            <w:hideMark/>
          </w:tcPr>
          <w:p w14:paraId="430BB82F" w14:textId="77777777" w:rsidR="00490ABA" w:rsidRPr="00197F0C" w:rsidRDefault="00490ABA" w:rsidP="00857222">
            <w:pPr>
              <w:spacing w:after="0" w:line="240" w:lineRule="auto"/>
              <w:jc w:val="center"/>
              <w:rPr>
                <w:sz w:val="22"/>
              </w:rPr>
            </w:pPr>
            <w:r w:rsidRPr="00197F0C">
              <w:rPr>
                <w:sz w:val="22"/>
              </w:rPr>
              <w:t>149,0</w:t>
            </w:r>
          </w:p>
        </w:tc>
        <w:tc>
          <w:tcPr>
            <w:tcW w:w="1701" w:type="dxa"/>
            <w:shd w:val="clear" w:color="auto" w:fill="auto"/>
            <w:noWrap/>
            <w:vAlign w:val="center"/>
            <w:hideMark/>
          </w:tcPr>
          <w:p w14:paraId="33A5ADB4" w14:textId="77777777" w:rsidR="00490ABA" w:rsidRPr="00197F0C" w:rsidRDefault="00490ABA" w:rsidP="00857222">
            <w:pPr>
              <w:spacing w:after="0" w:line="240" w:lineRule="auto"/>
              <w:jc w:val="center"/>
              <w:rPr>
                <w:sz w:val="22"/>
              </w:rPr>
            </w:pPr>
            <w:r w:rsidRPr="00197F0C">
              <w:rPr>
                <w:sz w:val="22"/>
              </w:rPr>
              <w:t>25,7</w:t>
            </w:r>
          </w:p>
        </w:tc>
        <w:tc>
          <w:tcPr>
            <w:tcW w:w="1701" w:type="dxa"/>
            <w:shd w:val="clear" w:color="auto" w:fill="auto"/>
            <w:noWrap/>
            <w:vAlign w:val="center"/>
            <w:hideMark/>
          </w:tcPr>
          <w:p w14:paraId="7605A8EE" w14:textId="77777777" w:rsidR="00490ABA" w:rsidRPr="00197F0C" w:rsidRDefault="00490ABA" w:rsidP="00857222">
            <w:pPr>
              <w:spacing w:after="0" w:line="240" w:lineRule="auto"/>
              <w:jc w:val="center"/>
              <w:rPr>
                <w:sz w:val="22"/>
              </w:rPr>
            </w:pPr>
            <w:r w:rsidRPr="00197F0C">
              <w:rPr>
                <w:sz w:val="22"/>
              </w:rPr>
              <w:t>142,4</w:t>
            </w:r>
          </w:p>
        </w:tc>
        <w:tc>
          <w:tcPr>
            <w:tcW w:w="1418" w:type="dxa"/>
            <w:shd w:val="clear" w:color="auto" w:fill="auto"/>
            <w:noWrap/>
            <w:vAlign w:val="center"/>
            <w:hideMark/>
          </w:tcPr>
          <w:p w14:paraId="522EAACC" w14:textId="77777777" w:rsidR="00490ABA" w:rsidRPr="00197F0C" w:rsidRDefault="00490ABA" w:rsidP="00857222">
            <w:pPr>
              <w:spacing w:after="0" w:line="240" w:lineRule="auto"/>
              <w:jc w:val="center"/>
              <w:rPr>
                <w:sz w:val="22"/>
              </w:rPr>
            </w:pPr>
            <w:r w:rsidRPr="00197F0C">
              <w:rPr>
                <w:sz w:val="22"/>
              </w:rPr>
              <w:t>705,9</w:t>
            </w:r>
          </w:p>
        </w:tc>
      </w:tr>
      <w:tr w:rsidR="00051A69" w:rsidRPr="00197F0C" w14:paraId="20E3FAF6" w14:textId="77777777" w:rsidTr="00B91DD9">
        <w:trPr>
          <w:trHeight w:val="118"/>
        </w:trPr>
        <w:tc>
          <w:tcPr>
            <w:tcW w:w="2469" w:type="dxa"/>
            <w:vMerge/>
            <w:vAlign w:val="center"/>
            <w:hideMark/>
          </w:tcPr>
          <w:p w14:paraId="3A60A793" w14:textId="77777777" w:rsidR="00490ABA" w:rsidRPr="00197F0C" w:rsidRDefault="00490ABA" w:rsidP="00857222">
            <w:pPr>
              <w:spacing w:after="0" w:line="240" w:lineRule="auto"/>
              <w:jc w:val="left"/>
              <w:rPr>
                <w:sz w:val="22"/>
              </w:rPr>
            </w:pPr>
          </w:p>
        </w:tc>
        <w:tc>
          <w:tcPr>
            <w:tcW w:w="690" w:type="dxa"/>
            <w:shd w:val="clear" w:color="auto" w:fill="auto"/>
            <w:vAlign w:val="center"/>
            <w:hideMark/>
          </w:tcPr>
          <w:p w14:paraId="2909776A" w14:textId="77777777" w:rsidR="00490ABA" w:rsidRPr="00197F0C" w:rsidRDefault="00490ABA" w:rsidP="00197F0C">
            <w:pPr>
              <w:spacing w:after="0" w:line="240" w:lineRule="auto"/>
              <w:rPr>
                <w:sz w:val="22"/>
              </w:rPr>
            </w:pPr>
            <w:r w:rsidRPr="00197F0C">
              <w:rPr>
                <w:sz w:val="22"/>
              </w:rPr>
              <w:t>2014</w:t>
            </w:r>
          </w:p>
        </w:tc>
        <w:tc>
          <w:tcPr>
            <w:tcW w:w="1803" w:type="dxa"/>
            <w:shd w:val="clear" w:color="auto" w:fill="auto"/>
            <w:noWrap/>
            <w:vAlign w:val="center"/>
            <w:hideMark/>
          </w:tcPr>
          <w:p w14:paraId="6B36DC25" w14:textId="77777777" w:rsidR="00490ABA" w:rsidRPr="00197F0C" w:rsidRDefault="00490ABA" w:rsidP="00857222">
            <w:pPr>
              <w:spacing w:after="0" w:line="240" w:lineRule="auto"/>
              <w:jc w:val="center"/>
              <w:rPr>
                <w:sz w:val="22"/>
              </w:rPr>
            </w:pPr>
            <w:r w:rsidRPr="00197F0C">
              <w:rPr>
                <w:sz w:val="22"/>
              </w:rPr>
              <w:t>240,8</w:t>
            </w:r>
          </w:p>
        </w:tc>
        <w:tc>
          <w:tcPr>
            <w:tcW w:w="850" w:type="dxa"/>
            <w:shd w:val="clear" w:color="auto" w:fill="auto"/>
            <w:noWrap/>
            <w:vAlign w:val="center"/>
            <w:hideMark/>
          </w:tcPr>
          <w:p w14:paraId="32A871F3" w14:textId="77777777" w:rsidR="00490ABA" w:rsidRPr="00197F0C" w:rsidRDefault="00490ABA" w:rsidP="00AF2C20">
            <w:pPr>
              <w:spacing w:after="0" w:line="240" w:lineRule="auto"/>
              <w:jc w:val="center"/>
              <w:rPr>
                <w:sz w:val="22"/>
              </w:rPr>
            </w:pPr>
            <w:r w:rsidRPr="00197F0C">
              <w:rPr>
                <w:sz w:val="22"/>
              </w:rPr>
              <w:t>185,9</w:t>
            </w:r>
          </w:p>
        </w:tc>
        <w:tc>
          <w:tcPr>
            <w:tcW w:w="1701" w:type="dxa"/>
            <w:shd w:val="clear" w:color="auto" w:fill="auto"/>
            <w:noWrap/>
            <w:vAlign w:val="center"/>
            <w:hideMark/>
          </w:tcPr>
          <w:p w14:paraId="03285085" w14:textId="77777777" w:rsidR="00490ABA" w:rsidRPr="00197F0C" w:rsidRDefault="00490ABA" w:rsidP="00857222">
            <w:pPr>
              <w:spacing w:after="0" w:line="240" w:lineRule="auto"/>
              <w:jc w:val="center"/>
              <w:rPr>
                <w:sz w:val="22"/>
              </w:rPr>
            </w:pPr>
            <w:r w:rsidRPr="00197F0C">
              <w:rPr>
                <w:sz w:val="22"/>
              </w:rPr>
              <w:t>283,5</w:t>
            </w:r>
          </w:p>
        </w:tc>
        <w:tc>
          <w:tcPr>
            <w:tcW w:w="1701" w:type="dxa"/>
            <w:shd w:val="clear" w:color="auto" w:fill="auto"/>
            <w:noWrap/>
            <w:vAlign w:val="center"/>
            <w:hideMark/>
          </w:tcPr>
          <w:p w14:paraId="3CA5BE9B" w14:textId="77777777" w:rsidR="00490ABA" w:rsidRPr="00197F0C" w:rsidRDefault="00490ABA" w:rsidP="00857222">
            <w:pPr>
              <w:spacing w:after="0" w:line="240" w:lineRule="auto"/>
              <w:jc w:val="center"/>
              <w:rPr>
                <w:sz w:val="22"/>
              </w:rPr>
            </w:pPr>
            <w:r w:rsidRPr="00197F0C">
              <w:rPr>
                <w:sz w:val="22"/>
              </w:rPr>
              <w:t>134,1</w:t>
            </w:r>
          </w:p>
        </w:tc>
        <w:tc>
          <w:tcPr>
            <w:tcW w:w="1701" w:type="dxa"/>
            <w:shd w:val="clear" w:color="auto" w:fill="auto"/>
            <w:noWrap/>
            <w:vAlign w:val="center"/>
            <w:hideMark/>
          </w:tcPr>
          <w:p w14:paraId="3D8E144E" w14:textId="77777777" w:rsidR="00490ABA" w:rsidRPr="00197F0C" w:rsidRDefault="00490ABA" w:rsidP="00857222">
            <w:pPr>
              <w:spacing w:after="0" w:line="240" w:lineRule="auto"/>
              <w:jc w:val="center"/>
              <w:rPr>
                <w:sz w:val="22"/>
              </w:rPr>
            </w:pPr>
            <w:r w:rsidRPr="00197F0C">
              <w:rPr>
                <w:sz w:val="22"/>
              </w:rPr>
              <w:t>28,0</w:t>
            </w:r>
          </w:p>
        </w:tc>
        <w:tc>
          <w:tcPr>
            <w:tcW w:w="1701" w:type="dxa"/>
            <w:shd w:val="clear" w:color="auto" w:fill="auto"/>
            <w:noWrap/>
            <w:vAlign w:val="center"/>
            <w:hideMark/>
          </w:tcPr>
          <w:p w14:paraId="0EADD692" w14:textId="77777777" w:rsidR="00490ABA" w:rsidRPr="00197F0C" w:rsidRDefault="00490ABA" w:rsidP="00857222">
            <w:pPr>
              <w:spacing w:after="0" w:line="240" w:lineRule="auto"/>
              <w:jc w:val="center"/>
              <w:rPr>
                <w:sz w:val="22"/>
              </w:rPr>
            </w:pPr>
            <w:r w:rsidRPr="00197F0C">
              <w:rPr>
                <w:sz w:val="22"/>
              </w:rPr>
              <w:t>144,9</w:t>
            </w:r>
          </w:p>
        </w:tc>
        <w:tc>
          <w:tcPr>
            <w:tcW w:w="1418" w:type="dxa"/>
            <w:shd w:val="clear" w:color="auto" w:fill="auto"/>
            <w:noWrap/>
            <w:vAlign w:val="center"/>
            <w:hideMark/>
          </w:tcPr>
          <w:p w14:paraId="3E0D5789" w14:textId="77777777" w:rsidR="00490ABA" w:rsidRPr="00197F0C" w:rsidRDefault="00490ABA" w:rsidP="00857222">
            <w:pPr>
              <w:spacing w:after="0" w:line="240" w:lineRule="auto"/>
              <w:jc w:val="center"/>
              <w:rPr>
                <w:sz w:val="22"/>
              </w:rPr>
            </w:pPr>
            <w:r w:rsidRPr="00197F0C">
              <w:rPr>
                <w:sz w:val="22"/>
              </w:rPr>
              <w:t>610,4</w:t>
            </w:r>
          </w:p>
        </w:tc>
      </w:tr>
      <w:tr w:rsidR="00051A69" w:rsidRPr="00197F0C" w14:paraId="652454AF" w14:textId="77777777" w:rsidTr="00B91DD9">
        <w:trPr>
          <w:trHeight w:val="190"/>
        </w:trPr>
        <w:tc>
          <w:tcPr>
            <w:tcW w:w="2469" w:type="dxa"/>
            <w:vMerge w:val="restart"/>
            <w:shd w:val="clear" w:color="auto" w:fill="DEEAF6" w:themeFill="accent1" w:themeFillTint="33"/>
            <w:vAlign w:val="center"/>
            <w:hideMark/>
          </w:tcPr>
          <w:p w14:paraId="651F8130" w14:textId="386486E7" w:rsidR="00490ABA" w:rsidRPr="00197F0C" w:rsidRDefault="00490ABA" w:rsidP="00857222">
            <w:pPr>
              <w:spacing w:after="0" w:line="240" w:lineRule="auto"/>
              <w:jc w:val="left"/>
              <w:rPr>
                <w:sz w:val="22"/>
              </w:rPr>
            </w:pPr>
            <w:r w:rsidRPr="00197F0C">
              <w:rPr>
                <w:sz w:val="22"/>
              </w:rPr>
              <w:t>Średnia przychodów dla organizacji wykazujących przychody (tys. zł)</w:t>
            </w:r>
          </w:p>
        </w:tc>
        <w:tc>
          <w:tcPr>
            <w:tcW w:w="690" w:type="dxa"/>
            <w:shd w:val="clear" w:color="auto" w:fill="DEEAF6" w:themeFill="accent1" w:themeFillTint="33"/>
            <w:noWrap/>
            <w:vAlign w:val="center"/>
            <w:hideMark/>
          </w:tcPr>
          <w:p w14:paraId="04ABF5C4" w14:textId="77777777" w:rsidR="00490ABA" w:rsidRPr="00197F0C" w:rsidRDefault="00490ABA" w:rsidP="00197F0C">
            <w:pPr>
              <w:spacing w:after="0" w:line="240" w:lineRule="auto"/>
              <w:rPr>
                <w:sz w:val="22"/>
              </w:rPr>
            </w:pPr>
            <w:r w:rsidRPr="00197F0C">
              <w:rPr>
                <w:sz w:val="22"/>
              </w:rPr>
              <w:t>2010</w:t>
            </w:r>
          </w:p>
        </w:tc>
        <w:tc>
          <w:tcPr>
            <w:tcW w:w="1803" w:type="dxa"/>
            <w:shd w:val="clear" w:color="auto" w:fill="DEEAF6" w:themeFill="accent1" w:themeFillTint="33"/>
            <w:noWrap/>
            <w:vAlign w:val="center"/>
            <w:hideMark/>
          </w:tcPr>
          <w:p w14:paraId="5400262F" w14:textId="77777777" w:rsidR="00490ABA" w:rsidRPr="00197F0C" w:rsidRDefault="00490ABA" w:rsidP="00857222">
            <w:pPr>
              <w:spacing w:after="0" w:line="240" w:lineRule="auto"/>
              <w:jc w:val="center"/>
              <w:rPr>
                <w:sz w:val="22"/>
              </w:rPr>
            </w:pPr>
            <w:r w:rsidRPr="00197F0C">
              <w:rPr>
                <w:sz w:val="22"/>
              </w:rPr>
              <w:t>267,7</w:t>
            </w:r>
          </w:p>
        </w:tc>
        <w:tc>
          <w:tcPr>
            <w:tcW w:w="850" w:type="dxa"/>
            <w:shd w:val="clear" w:color="auto" w:fill="DEEAF6" w:themeFill="accent1" w:themeFillTint="33"/>
            <w:noWrap/>
            <w:vAlign w:val="center"/>
            <w:hideMark/>
          </w:tcPr>
          <w:p w14:paraId="24C5CBF1" w14:textId="77777777" w:rsidR="00490ABA" w:rsidRPr="00197F0C" w:rsidRDefault="00490ABA" w:rsidP="00AF2C20">
            <w:pPr>
              <w:spacing w:after="0" w:line="240" w:lineRule="auto"/>
              <w:jc w:val="center"/>
              <w:rPr>
                <w:sz w:val="22"/>
              </w:rPr>
            </w:pPr>
            <w:r w:rsidRPr="00197F0C">
              <w:rPr>
                <w:sz w:val="22"/>
              </w:rPr>
              <w:t>205,1</w:t>
            </w:r>
          </w:p>
        </w:tc>
        <w:tc>
          <w:tcPr>
            <w:tcW w:w="1701" w:type="dxa"/>
            <w:shd w:val="clear" w:color="auto" w:fill="DEEAF6" w:themeFill="accent1" w:themeFillTint="33"/>
            <w:noWrap/>
            <w:vAlign w:val="center"/>
            <w:hideMark/>
          </w:tcPr>
          <w:p w14:paraId="532DA17C" w14:textId="77777777" w:rsidR="00490ABA" w:rsidRPr="00197F0C" w:rsidRDefault="00490ABA" w:rsidP="00857222">
            <w:pPr>
              <w:spacing w:after="0" w:line="240" w:lineRule="auto"/>
              <w:jc w:val="center"/>
              <w:rPr>
                <w:sz w:val="22"/>
              </w:rPr>
            </w:pPr>
            <w:r w:rsidRPr="00197F0C">
              <w:rPr>
                <w:sz w:val="22"/>
              </w:rPr>
              <w:t>312,1</w:t>
            </w:r>
          </w:p>
        </w:tc>
        <w:tc>
          <w:tcPr>
            <w:tcW w:w="1701" w:type="dxa"/>
            <w:shd w:val="clear" w:color="auto" w:fill="DEEAF6" w:themeFill="accent1" w:themeFillTint="33"/>
            <w:noWrap/>
            <w:vAlign w:val="center"/>
            <w:hideMark/>
          </w:tcPr>
          <w:p w14:paraId="1898F016" w14:textId="77777777" w:rsidR="00490ABA" w:rsidRPr="00197F0C" w:rsidRDefault="00490ABA" w:rsidP="00857222">
            <w:pPr>
              <w:spacing w:after="0" w:line="240" w:lineRule="auto"/>
              <w:jc w:val="center"/>
              <w:rPr>
                <w:sz w:val="22"/>
              </w:rPr>
            </w:pPr>
            <w:r w:rsidRPr="00197F0C">
              <w:rPr>
                <w:sz w:val="22"/>
              </w:rPr>
              <w:t>162,8</w:t>
            </w:r>
          </w:p>
        </w:tc>
        <w:tc>
          <w:tcPr>
            <w:tcW w:w="1701" w:type="dxa"/>
            <w:shd w:val="clear" w:color="auto" w:fill="DEEAF6" w:themeFill="accent1" w:themeFillTint="33"/>
            <w:noWrap/>
            <w:vAlign w:val="center"/>
            <w:hideMark/>
          </w:tcPr>
          <w:p w14:paraId="3E3F2DE5" w14:textId="77777777" w:rsidR="00490ABA" w:rsidRPr="00197F0C" w:rsidRDefault="00490ABA" w:rsidP="00857222">
            <w:pPr>
              <w:spacing w:after="0" w:line="240" w:lineRule="auto"/>
              <w:jc w:val="center"/>
              <w:rPr>
                <w:sz w:val="22"/>
              </w:rPr>
            </w:pPr>
            <w:r w:rsidRPr="00197F0C">
              <w:rPr>
                <w:sz w:val="22"/>
              </w:rPr>
              <w:t>31,0</w:t>
            </w:r>
          </w:p>
        </w:tc>
        <w:tc>
          <w:tcPr>
            <w:tcW w:w="1701" w:type="dxa"/>
            <w:shd w:val="clear" w:color="auto" w:fill="DEEAF6" w:themeFill="accent1" w:themeFillTint="33"/>
            <w:noWrap/>
            <w:vAlign w:val="center"/>
            <w:hideMark/>
          </w:tcPr>
          <w:p w14:paraId="18D082FC" w14:textId="77777777" w:rsidR="00490ABA" w:rsidRPr="00197F0C" w:rsidRDefault="00490ABA" w:rsidP="00857222">
            <w:pPr>
              <w:spacing w:after="0" w:line="240" w:lineRule="auto"/>
              <w:jc w:val="center"/>
              <w:rPr>
                <w:sz w:val="22"/>
              </w:rPr>
            </w:pPr>
            <w:r w:rsidRPr="00197F0C">
              <w:rPr>
                <w:sz w:val="22"/>
              </w:rPr>
              <w:t>106,8</w:t>
            </w:r>
          </w:p>
        </w:tc>
        <w:tc>
          <w:tcPr>
            <w:tcW w:w="1418" w:type="dxa"/>
            <w:shd w:val="clear" w:color="auto" w:fill="DEEAF6" w:themeFill="accent1" w:themeFillTint="33"/>
            <w:noWrap/>
            <w:vAlign w:val="center"/>
            <w:hideMark/>
          </w:tcPr>
          <w:p w14:paraId="123DBA64" w14:textId="77777777" w:rsidR="00490ABA" w:rsidRPr="00197F0C" w:rsidRDefault="00490ABA" w:rsidP="00857222">
            <w:pPr>
              <w:spacing w:after="0" w:line="240" w:lineRule="auto"/>
              <w:jc w:val="center"/>
              <w:rPr>
                <w:sz w:val="22"/>
              </w:rPr>
            </w:pPr>
            <w:r w:rsidRPr="00197F0C">
              <w:rPr>
                <w:sz w:val="22"/>
              </w:rPr>
              <w:t>853,0</w:t>
            </w:r>
          </w:p>
        </w:tc>
      </w:tr>
      <w:tr w:rsidR="00051A69" w:rsidRPr="00197F0C" w14:paraId="34933887" w14:textId="77777777" w:rsidTr="00B91DD9">
        <w:trPr>
          <w:trHeight w:val="202"/>
        </w:trPr>
        <w:tc>
          <w:tcPr>
            <w:tcW w:w="2469" w:type="dxa"/>
            <w:vMerge/>
            <w:shd w:val="clear" w:color="auto" w:fill="DEEAF6" w:themeFill="accent1" w:themeFillTint="33"/>
            <w:vAlign w:val="center"/>
            <w:hideMark/>
          </w:tcPr>
          <w:p w14:paraId="3DD1ACEB" w14:textId="77777777" w:rsidR="00490ABA" w:rsidRPr="00197F0C" w:rsidRDefault="00490ABA" w:rsidP="00857222">
            <w:pPr>
              <w:spacing w:after="0" w:line="240" w:lineRule="auto"/>
              <w:jc w:val="left"/>
              <w:rPr>
                <w:sz w:val="22"/>
              </w:rPr>
            </w:pPr>
          </w:p>
        </w:tc>
        <w:tc>
          <w:tcPr>
            <w:tcW w:w="690" w:type="dxa"/>
            <w:shd w:val="clear" w:color="auto" w:fill="DEEAF6" w:themeFill="accent1" w:themeFillTint="33"/>
            <w:vAlign w:val="center"/>
            <w:hideMark/>
          </w:tcPr>
          <w:p w14:paraId="2FE38A10" w14:textId="77777777" w:rsidR="00490ABA" w:rsidRPr="00197F0C" w:rsidRDefault="00490ABA" w:rsidP="00197F0C">
            <w:pPr>
              <w:spacing w:after="0" w:line="240" w:lineRule="auto"/>
              <w:rPr>
                <w:sz w:val="22"/>
              </w:rPr>
            </w:pPr>
            <w:r w:rsidRPr="00197F0C">
              <w:rPr>
                <w:sz w:val="22"/>
              </w:rPr>
              <w:t>2012</w:t>
            </w:r>
          </w:p>
        </w:tc>
        <w:tc>
          <w:tcPr>
            <w:tcW w:w="1803" w:type="dxa"/>
            <w:shd w:val="clear" w:color="auto" w:fill="DEEAF6" w:themeFill="accent1" w:themeFillTint="33"/>
            <w:noWrap/>
            <w:vAlign w:val="center"/>
            <w:hideMark/>
          </w:tcPr>
          <w:p w14:paraId="473467B8" w14:textId="77777777" w:rsidR="00490ABA" w:rsidRPr="00197F0C" w:rsidRDefault="00490ABA" w:rsidP="00857222">
            <w:pPr>
              <w:spacing w:after="0" w:line="240" w:lineRule="auto"/>
              <w:jc w:val="center"/>
              <w:rPr>
                <w:sz w:val="22"/>
              </w:rPr>
            </w:pPr>
            <w:r w:rsidRPr="00197F0C">
              <w:rPr>
                <w:sz w:val="22"/>
              </w:rPr>
              <w:t>266,0</w:t>
            </w:r>
          </w:p>
        </w:tc>
        <w:tc>
          <w:tcPr>
            <w:tcW w:w="850" w:type="dxa"/>
            <w:shd w:val="clear" w:color="auto" w:fill="DEEAF6" w:themeFill="accent1" w:themeFillTint="33"/>
            <w:noWrap/>
            <w:vAlign w:val="center"/>
            <w:hideMark/>
          </w:tcPr>
          <w:p w14:paraId="407BEADD" w14:textId="77777777" w:rsidR="00490ABA" w:rsidRPr="00197F0C" w:rsidRDefault="00490ABA" w:rsidP="00AF2C20">
            <w:pPr>
              <w:spacing w:after="0" w:line="240" w:lineRule="auto"/>
              <w:jc w:val="center"/>
              <w:rPr>
                <w:sz w:val="22"/>
              </w:rPr>
            </w:pPr>
            <w:r w:rsidRPr="00197F0C">
              <w:rPr>
                <w:sz w:val="22"/>
              </w:rPr>
              <w:t>201,8</w:t>
            </w:r>
          </w:p>
        </w:tc>
        <w:tc>
          <w:tcPr>
            <w:tcW w:w="1701" w:type="dxa"/>
            <w:shd w:val="clear" w:color="auto" w:fill="DEEAF6" w:themeFill="accent1" w:themeFillTint="33"/>
            <w:noWrap/>
            <w:vAlign w:val="center"/>
            <w:hideMark/>
          </w:tcPr>
          <w:p w14:paraId="6CEE0523" w14:textId="77777777" w:rsidR="00490ABA" w:rsidRPr="00197F0C" w:rsidRDefault="00490ABA" w:rsidP="00857222">
            <w:pPr>
              <w:spacing w:after="0" w:line="240" w:lineRule="auto"/>
              <w:jc w:val="center"/>
              <w:rPr>
                <w:sz w:val="22"/>
              </w:rPr>
            </w:pPr>
            <w:r w:rsidRPr="00197F0C">
              <w:rPr>
                <w:sz w:val="22"/>
              </w:rPr>
              <w:t>299,9</w:t>
            </w:r>
          </w:p>
        </w:tc>
        <w:tc>
          <w:tcPr>
            <w:tcW w:w="1701" w:type="dxa"/>
            <w:shd w:val="clear" w:color="auto" w:fill="DEEAF6" w:themeFill="accent1" w:themeFillTint="33"/>
            <w:noWrap/>
            <w:vAlign w:val="center"/>
            <w:hideMark/>
          </w:tcPr>
          <w:p w14:paraId="0247FC4A" w14:textId="77777777" w:rsidR="00490ABA" w:rsidRPr="00197F0C" w:rsidRDefault="00490ABA" w:rsidP="00857222">
            <w:pPr>
              <w:spacing w:after="0" w:line="240" w:lineRule="auto"/>
              <w:jc w:val="center"/>
              <w:rPr>
                <w:sz w:val="22"/>
              </w:rPr>
            </w:pPr>
            <w:r w:rsidRPr="00197F0C">
              <w:rPr>
                <w:sz w:val="22"/>
              </w:rPr>
              <w:t>177,0</w:t>
            </w:r>
          </w:p>
        </w:tc>
        <w:tc>
          <w:tcPr>
            <w:tcW w:w="1701" w:type="dxa"/>
            <w:shd w:val="clear" w:color="auto" w:fill="DEEAF6" w:themeFill="accent1" w:themeFillTint="33"/>
            <w:noWrap/>
            <w:vAlign w:val="center"/>
            <w:hideMark/>
          </w:tcPr>
          <w:p w14:paraId="1EA65E01" w14:textId="77777777" w:rsidR="00490ABA" w:rsidRPr="00197F0C" w:rsidRDefault="00490ABA" w:rsidP="00857222">
            <w:pPr>
              <w:spacing w:after="0" w:line="240" w:lineRule="auto"/>
              <w:jc w:val="center"/>
              <w:rPr>
                <w:sz w:val="22"/>
              </w:rPr>
            </w:pPr>
            <w:r w:rsidRPr="00197F0C">
              <w:rPr>
                <w:sz w:val="22"/>
              </w:rPr>
              <w:t>27,9</w:t>
            </w:r>
          </w:p>
        </w:tc>
        <w:tc>
          <w:tcPr>
            <w:tcW w:w="1701" w:type="dxa"/>
            <w:shd w:val="clear" w:color="auto" w:fill="DEEAF6" w:themeFill="accent1" w:themeFillTint="33"/>
            <w:noWrap/>
            <w:vAlign w:val="center"/>
            <w:hideMark/>
          </w:tcPr>
          <w:p w14:paraId="6F710BE7" w14:textId="77777777" w:rsidR="00490ABA" w:rsidRPr="00197F0C" w:rsidRDefault="00490ABA" w:rsidP="00857222">
            <w:pPr>
              <w:spacing w:after="0" w:line="240" w:lineRule="auto"/>
              <w:jc w:val="center"/>
              <w:rPr>
                <w:sz w:val="22"/>
              </w:rPr>
            </w:pPr>
            <w:r w:rsidRPr="00197F0C">
              <w:rPr>
                <w:sz w:val="22"/>
              </w:rPr>
              <w:t>142,4</w:t>
            </w:r>
          </w:p>
        </w:tc>
        <w:tc>
          <w:tcPr>
            <w:tcW w:w="1418" w:type="dxa"/>
            <w:shd w:val="clear" w:color="auto" w:fill="DEEAF6" w:themeFill="accent1" w:themeFillTint="33"/>
            <w:noWrap/>
            <w:vAlign w:val="center"/>
            <w:hideMark/>
          </w:tcPr>
          <w:p w14:paraId="5EE28EF5" w14:textId="77777777" w:rsidR="00490ABA" w:rsidRPr="00197F0C" w:rsidRDefault="00490ABA" w:rsidP="00857222">
            <w:pPr>
              <w:spacing w:after="0" w:line="240" w:lineRule="auto"/>
              <w:jc w:val="center"/>
              <w:rPr>
                <w:sz w:val="22"/>
              </w:rPr>
            </w:pPr>
            <w:r w:rsidRPr="00197F0C">
              <w:rPr>
                <w:sz w:val="22"/>
              </w:rPr>
              <w:t>776,1</w:t>
            </w:r>
          </w:p>
        </w:tc>
      </w:tr>
      <w:tr w:rsidR="00051A69" w:rsidRPr="00197F0C" w14:paraId="2955952A" w14:textId="77777777" w:rsidTr="00B91DD9">
        <w:trPr>
          <w:trHeight w:val="205"/>
        </w:trPr>
        <w:tc>
          <w:tcPr>
            <w:tcW w:w="2469" w:type="dxa"/>
            <w:vMerge/>
            <w:shd w:val="clear" w:color="auto" w:fill="DEEAF6" w:themeFill="accent1" w:themeFillTint="33"/>
            <w:vAlign w:val="center"/>
            <w:hideMark/>
          </w:tcPr>
          <w:p w14:paraId="0EEC5F9F" w14:textId="77777777" w:rsidR="00490ABA" w:rsidRPr="00197F0C" w:rsidRDefault="00490ABA" w:rsidP="00857222">
            <w:pPr>
              <w:spacing w:after="0" w:line="240" w:lineRule="auto"/>
              <w:jc w:val="left"/>
              <w:rPr>
                <w:sz w:val="22"/>
              </w:rPr>
            </w:pPr>
          </w:p>
        </w:tc>
        <w:tc>
          <w:tcPr>
            <w:tcW w:w="690" w:type="dxa"/>
            <w:shd w:val="clear" w:color="auto" w:fill="DEEAF6" w:themeFill="accent1" w:themeFillTint="33"/>
            <w:vAlign w:val="center"/>
            <w:hideMark/>
          </w:tcPr>
          <w:p w14:paraId="1D1D22AB" w14:textId="77777777" w:rsidR="00490ABA" w:rsidRPr="00197F0C" w:rsidRDefault="00490ABA" w:rsidP="00197F0C">
            <w:pPr>
              <w:spacing w:after="0" w:line="240" w:lineRule="auto"/>
              <w:rPr>
                <w:sz w:val="22"/>
              </w:rPr>
            </w:pPr>
            <w:r w:rsidRPr="00197F0C">
              <w:rPr>
                <w:sz w:val="22"/>
              </w:rPr>
              <w:t>2014</w:t>
            </w:r>
          </w:p>
        </w:tc>
        <w:tc>
          <w:tcPr>
            <w:tcW w:w="1803" w:type="dxa"/>
            <w:shd w:val="clear" w:color="auto" w:fill="DEEAF6" w:themeFill="accent1" w:themeFillTint="33"/>
            <w:noWrap/>
            <w:vAlign w:val="center"/>
            <w:hideMark/>
          </w:tcPr>
          <w:p w14:paraId="01C7ADAD" w14:textId="77777777" w:rsidR="00490ABA" w:rsidRPr="00197F0C" w:rsidRDefault="00490ABA" w:rsidP="00857222">
            <w:pPr>
              <w:spacing w:after="0" w:line="240" w:lineRule="auto"/>
              <w:jc w:val="center"/>
              <w:rPr>
                <w:sz w:val="22"/>
              </w:rPr>
            </w:pPr>
            <w:r w:rsidRPr="00197F0C">
              <w:rPr>
                <w:sz w:val="22"/>
              </w:rPr>
              <w:t>265,5</w:t>
            </w:r>
          </w:p>
        </w:tc>
        <w:tc>
          <w:tcPr>
            <w:tcW w:w="850" w:type="dxa"/>
            <w:shd w:val="clear" w:color="auto" w:fill="DEEAF6" w:themeFill="accent1" w:themeFillTint="33"/>
            <w:noWrap/>
            <w:vAlign w:val="center"/>
            <w:hideMark/>
          </w:tcPr>
          <w:p w14:paraId="645E781F" w14:textId="77777777" w:rsidR="00490ABA" w:rsidRPr="00197F0C" w:rsidRDefault="00490ABA" w:rsidP="00AF2C20">
            <w:pPr>
              <w:spacing w:after="0" w:line="240" w:lineRule="auto"/>
              <w:jc w:val="center"/>
              <w:rPr>
                <w:sz w:val="22"/>
              </w:rPr>
            </w:pPr>
            <w:r w:rsidRPr="00197F0C">
              <w:rPr>
                <w:sz w:val="22"/>
              </w:rPr>
              <w:t>204,6</w:t>
            </w:r>
          </w:p>
        </w:tc>
        <w:tc>
          <w:tcPr>
            <w:tcW w:w="1701" w:type="dxa"/>
            <w:shd w:val="clear" w:color="auto" w:fill="DEEAF6" w:themeFill="accent1" w:themeFillTint="33"/>
            <w:noWrap/>
            <w:vAlign w:val="center"/>
            <w:hideMark/>
          </w:tcPr>
          <w:p w14:paraId="173338E6" w14:textId="77777777" w:rsidR="00490ABA" w:rsidRPr="00197F0C" w:rsidRDefault="00490ABA" w:rsidP="00857222">
            <w:pPr>
              <w:spacing w:after="0" w:line="240" w:lineRule="auto"/>
              <w:jc w:val="center"/>
              <w:rPr>
                <w:sz w:val="22"/>
              </w:rPr>
            </w:pPr>
            <w:r w:rsidRPr="00197F0C">
              <w:rPr>
                <w:sz w:val="22"/>
              </w:rPr>
              <w:t>304,4</w:t>
            </w:r>
          </w:p>
        </w:tc>
        <w:tc>
          <w:tcPr>
            <w:tcW w:w="1701" w:type="dxa"/>
            <w:shd w:val="clear" w:color="auto" w:fill="DEEAF6" w:themeFill="accent1" w:themeFillTint="33"/>
            <w:noWrap/>
            <w:vAlign w:val="center"/>
            <w:hideMark/>
          </w:tcPr>
          <w:p w14:paraId="231A8ECC" w14:textId="77777777" w:rsidR="00490ABA" w:rsidRPr="00197F0C" w:rsidRDefault="00490ABA" w:rsidP="00857222">
            <w:pPr>
              <w:spacing w:after="0" w:line="240" w:lineRule="auto"/>
              <w:jc w:val="center"/>
              <w:rPr>
                <w:sz w:val="22"/>
              </w:rPr>
            </w:pPr>
            <w:r w:rsidRPr="00197F0C">
              <w:rPr>
                <w:sz w:val="22"/>
              </w:rPr>
              <w:t>158,8</w:t>
            </w:r>
          </w:p>
        </w:tc>
        <w:tc>
          <w:tcPr>
            <w:tcW w:w="1701" w:type="dxa"/>
            <w:shd w:val="clear" w:color="auto" w:fill="DEEAF6" w:themeFill="accent1" w:themeFillTint="33"/>
            <w:noWrap/>
            <w:vAlign w:val="center"/>
            <w:hideMark/>
          </w:tcPr>
          <w:p w14:paraId="4CE4E746" w14:textId="77777777" w:rsidR="00490ABA" w:rsidRPr="00197F0C" w:rsidRDefault="00490ABA" w:rsidP="00857222">
            <w:pPr>
              <w:spacing w:after="0" w:line="240" w:lineRule="auto"/>
              <w:jc w:val="center"/>
              <w:rPr>
                <w:sz w:val="22"/>
              </w:rPr>
            </w:pPr>
            <w:r w:rsidRPr="00197F0C">
              <w:rPr>
                <w:sz w:val="22"/>
              </w:rPr>
              <w:t>30,4</w:t>
            </w:r>
          </w:p>
        </w:tc>
        <w:tc>
          <w:tcPr>
            <w:tcW w:w="1701" w:type="dxa"/>
            <w:shd w:val="clear" w:color="auto" w:fill="DEEAF6" w:themeFill="accent1" w:themeFillTint="33"/>
            <w:noWrap/>
            <w:vAlign w:val="center"/>
            <w:hideMark/>
          </w:tcPr>
          <w:p w14:paraId="048946FE" w14:textId="77777777" w:rsidR="00490ABA" w:rsidRPr="00197F0C" w:rsidRDefault="00490ABA" w:rsidP="00857222">
            <w:pPr>
              <w:spacing w:after="0" w:line="240" w:lineRule="auto"/>
              <w:jc w:val="center"/>
              <w:rPr>
                <w:sz w:val="22"/>
              </w:rPr>
            </w:pPr>
            <w:r w:rsidRPr="00197F0C">
              <w:rPr>
                <w:sz w:val="22"/>
              </w:rPr>
              <w:t>144,9</w:t>
            </w:r>
          </w:p>
        </w:tc>
        <w:tc>
          <w:tcPr>
            <w:tcW w:w="1418" w:type="dxa"/>
            <w:shd w:val="clear" w:color="auto" w:fill="DEEAF6" w:themeFill="accent1" w:themeFillTint="33"/>
            <w:noWrap/>
            <w:vAlign w:val="center"/>
            <w:hideMark/>
          </w:tcPr>
          <w:p w14:paraId="21753A98" w14:textId="77777777" w:rsidR="00490ABA" w:rsidRPr="00197F0C" w:rsidRDefault="00490ABA" w:rsidP="00857222">
            <w:pPr>
              <w:spacing w:after="0" w:line="240" w:lineRule="auto"/>
              <w:jc w:val="center"/>
              <w:rPr>
                <w:sz w:val="22"/>
              </w:rPr>
            </w:pPr>
            <w:r w:rsidRPr="00197F0C">
              <w:rPr>
                <w:sz w:val="22"/>
              </w:rPr>
              <w:t>681,7</w:t>
            </w:r>
          </w:p>
        </w:tc>
      </w:tr>
      <w:tr w:rsidR="00051A69" w:rsidRPr="00197F0C" w14:paraId="08E7A96F" w14:textId="77777777" w:rsidTr="00B91DD9">
        <w:trPr>
          <w:trHeight w:val="228"/>
        </w:trPr>
        <w:tc>
          <w:tcPr>
            <w:tcW w:w="2469" w:type="dxa"/>
            <w:vMerge w:val="restart"/>
            <w:shd w:val="clear" w:color="auto" w:fill="auto"/>
            <w:vAlign w:val="center"/>
            <w:hideMark/>
          </w:tcPr>
          <w:p w14:paraId="53482BB9" w14:textId="77777777" w:rsidR="00490ABA" w:rsidRPr="00197F0C" w:rsidRDefault="00490ABA" w:rsidP="00857222">
            <w:pPr>
              <w:spacing w:after="0" w:line="240" w:lineRule="auto"/>
              <w:jc w:val="left"/>
              <w:rPr>
                <w:sz w:val="22"/>
              </w:rPr>
            </w:pPr>
            <w:r w:rsidRPr="00197F0C">
              <w:rPr>
                <w:sz w:val="22"/>
              </w:rPr>
              <w:t>Mediana przychodów dla wszystkich aktywnych organizacji (tys. zł)</w:t>
            </w:r>
          </w:p>
        </w:tc>
        <w:tc>
          <w:tcPr>
            <w:tcW w:w="690" w:type="dxa"/>
            <w:shd w:val="clear" w:color="auto" w:fill="auto"/>
            <w:noWrap/>
            <w:vAlign w:val="center"/>
            <w:hideMark/>
          </w:tcPr>
          <w:p w14:paraId="12C22C48" w14:textId="77777777" w:rsidR="00490ABA" w:rsidRPr="00197F0C" w:rsidRDefault="00490ABA" w:rsidP="00197F0C">
            <w:pPr>
              <w:spacing w:after="0" w:line="240" w:lineRule="auto"/>
              <w:rPr>
                <w:sz w:val="22"/>
              </w:rPr>
            </w:pPr>
            <w:r w:rsidRPr="00197F0C">
              <w:rPr>
                <w:sz w:val="22"/>
              </w:rPr>
              <w:t>2010</w:t>
            </w:r>
          </w:p>
        </w:tc>
        <w:tc>
          <w:tcPr>
            <w:tcW w:w="1803" w:type="dxa"/>
            <w:shd w:val="clear" w:color="auto" w:fill="auto"/>
            <w:noWrap/>
            <w:vAlign w:val="center"/>
            <w:hideMark/>
          </w:tcPr>
          <w:p w14:paraId="3E2971FD" w14:textId="77777777" w:rsidR="00490ABA" w:rsidRPr="00197F0C" w:rsidRDefault="00490ABA" w:rsidP="00857222">
            <w:pPr>
              <w:spacing w:after="0" w:line="240" w:lineRule="auto"/>
              <w:jc w:val="center"/>
              <w:rPr>
                <w:sz w:val="22"/>
              </w:rPr>
            </w:pPr>
            <w:r w:rsidRPr="00197F0C">
              <w:rPr>
                <w:sz w:val="22"/>
              </w:rPr>
              <w:t>18,0</w:t>
            </w:r>
          </w:p>
        </w:tc>
        <w:tc>
          <w:tcPr>
            <w:tcW w:w="850" w:type="dxa"/>
            <w:shd w:val="clear" w:color="auto" w:fill="auto"/>
            <w:noWrap/>
            <w:vAlign w:val="center"/>
            <w:hideMark/>
          </w:tcPr>
          <w:p w14:paraId="5706DAB7" w14:textId="77777777" w:rsidR="00490ABA" w:rsidRPr="00197F0C" w:rsidRDefault="00490ABA" w:rsidP="00AF2C20">
            <w:pPr>
              <w:spacing w:after="0" w:line="240" w:lineRule="auto"/>
              <w:jc w:val="center"/>
              <w:rPr>
                <w:sz w:val="22"/>
              </w:rPr>
            </w:pPr>
            <w:r w:rsidRPr="00197F0C">
              <w:rPr>
                <w:sz w:val="22"/>
              </w:rPr>
              <w:t>16,1</w:t>
            </w:r>
          </w:p>
        </w:tc>
        <w:tc>
          <w:tcPr>
            <w:tcW w:w="1701" w:type="dxa"/>
            <w:shd w:val="clear" w:color="auto" w:fill="auto"/>
            <w:noWrap/>
            <w:vAlign w:val="center"/>
            <w:hideMark/>
          </w:tcPr>
          <w:p w14:paraId="3D017639" w14:textId="77777777" w:rsidR="00490ABA" w:rsidRPr="00197F0C" w:rsidRDefault="00490ABA" w:rsidP="00857222">
            <w:pPr>
              <w:spacing w:after="0" w:line="240" w:lineRule="auto"/>
              <w:jc w:val="center"/>
              <w:rPr>
                <w:sz w:val="22"/>
              </w:rPr>
            </w:pPr>
            <w:r w:rsidRPr="00197F0C">
              <w:rPr>
                <w:sz w:val="22"/>
              </w:rPr>
              <w:t>20,0</w:t>
            </w:r>
          </w:p>
        </w:tc>
        <w:tc>
          <w:tcPr>
            <w:tcW w:w="1701" w:type="dxa"/>
            <w:shd w:val="clear" w:color="auto" w:fill="auto"/>
            <w:noWrap/>
            <w:vAlign w:val="center"/>
            <w:hideMark/>
          </w:tcPr>
          <w:p w14:paraId="7C213714" w14:textId="77777777" w:rsidR="00490ABA" w:rsidRPr="00197F0C" w:rsidRDefault="00490ABA" w:rsidP="00857222">
            <w:pPr>
              <w:spacing w:after="0" w:line="240" w:lineRule="auto"/>
              <w:jc w:val="center"/>
              <w:rPr>
                <w:sz w:val="22"/>
              </w:rPr>
            </w:pPr>
            <w:r w:rsidRPr="00197F0C">
              <w:rPr>
                <w:sz w:val="22"/>
              </w:rPr>
              <w:t>20,0</w:t>
            </w:r>
          </w:p>
        </w:tc>
        <w:tc>
          <w:tcPr>
            <w:tcW w:w="1701" w:type="dxa"/>
            <w:shd w:val="clear" w:color="auto" w:fill="auto"/>
            <w:noWrap/>
            <w:vAlign w:val="center"/>
            <w:hideMark/>
          </w:tcPr>
          <w:p w14:paraId="214AFA52" w14:textId="77777777" w:rsidR="00490ABA" w:rsidRPr="00197F0C" w:rsidRDefault="00490ABA" w:rsidP="00857222">
            <w:pPr>
              <w:spacing w:after="0" w:line="240" w:lineRule="auto"/>
              <w:jc w:val="center"/>
              <w:rPr>
                <w:sz w:val="22"/>
              </w:rPr>
            </w:pPr>
            <w:r w:rsidRPr="00197F0C">
              <w:rPr>
                <w:sz w:val="22"/>
              </w:rPr>
              <w:t>5,3</w:t>
            </w:r>
          </w:p>
        </w:tc>
        <w:tc>
          <w:tcPr>
            <w:tcW w:w="1701" w:type="dxa"/>
            <w:shd w:val="clear" w:color="auto" w:fill="auto"/>
            <w:noWrap/>
            <w:vAlign w:val="center"/>
            <w:hideMark/>
          </w:tcPr>
          <w:p w14:paraId="5471DF99" w14:textId="77777777" w:rsidR="00490ABA" w:rsidRPr="00197F0C" w:rsidRDefault="00490ABA" w:rsidP="00857222">
            <w:pPr>
              <w:spacing w:after="0" w:line="240" w:lineRule="auto"/>
              <w:jc w:val="center"/>
              <w:rPr>
                <w:sz w:val="22"/>
              </w:rPr>
            </w:pPr>
            <w:r w:rsidRPr="00197F0C">
              <w:rPr>
                <w:sz w:val="22"/>
              </w:rPr>
              <w:t>50,9</w:t>
            </w:r>
          </w:p>
        </w:tc>
        <w:tc>
          <w:tcPr>
            <w:tcW w:w="1418" w:type="dxa"/>
            <w:shd w:val="clear" w:color="auto" w:fill="auto"/>
            <w:noWrap/>
            <w:vAlign w:val="center"/>
            <w:hideMark/>
          </w:tcPr>
          <w:p w14:paraId="2F9BD92F" w14:textId="77777777" w:rsidR="00490ABA" w:rsidRPr="00197F0C" w:rsidRDefault="00490ABA" w:rsidP="00857222">
            <w:pPr>
              <w:spacing w:after="0" w:line="240" w:lineRule="auto"/>
              <w:jc w:val="center"/>
              <w:rPr>
                <w:sz w:val="22"/>
              </w:rPr>
            </w:pPr>
            <w:r w:rsidRPr="00197F0C">
              <w:rPr>
                <w:sz w:val="22"/>
              </w:rPr>
              <w:t>67,0</w:t>
            </w:r>
          </w:p>
        </w:tc>
      </w:tr>
      <w:tr w:rsidR="00051A69" w:rsidRPr="00197F0C" w14:paraId="71F72C76" w14:textId="77777777" w:rsidTr="00B91DD9">
        <w:trPr>
          <w:trHeight w:val="190"/>
        </w:trPr>
        <w:tc>
          <w:tcPr>
            <w:tcW w:w="2469" w:type="dxa"/>
            <w:vMerge/>
            <w:vAlign w:val="center"/>
            <w:hideMark/>
          </w:tcPr>
          <w:p w14:paraId="3A5BB422" w14:textId="77777777" w:rsidR="00490ABA" w:rsidRPr="00197F0C" w:rsidRDefault="00490ABA" w:rsidP="00857222">
            <w:pPr>
              <w:spacing w:after="0" w:line="240" w:lineRule="auto"/>
              <w:jc w:val="left"/>
              <w:rPr>
                <w:sz w:val="22"/>
              </w:rPr>
            </w:pPr>
          </w:p>
        </w:tc>
        <w:tc>
          <w:tcPr>
            <w:tcW w:w="690" w:type="dxa"/>
            <w:shd w:val="clear" w:color="auto" w:fill="auto"/>
            <w:vAlign w:val="center"/>
            <w:hideMark/>
          </w:tcPr>
          <w:p w14:paraId="6B1A47A7" w14:textId="77777777" w:rsidR="00490ABA" w:rsidRPr="00197F0C" w:rsidRDefault="00490ABA" w:rsidP="00197F0C">
            <w:pPr>
              <w:spacing w:after="0" w:line="240" w:lineRule="auto"/>
              <w:rPr>
                <w:sz w:val="22"/>
              </w:rPr>
            </w:pPr>
            <w:r w:rsidRPr="00197F0C">
              <w:rPr>
                <w:sz w:val="22"/>
              </w:rPr>
              <w:t>2012</w:t>
            </w:r>
          </w:p>
        </w:tc>
        <w:tc>
          <w:tcPr>
            <w:tcW w:w="1803" w:type="dxa"/>
            <w:shd w:val="clear" w:color="auto" w:fill="auto"/>
            <w:noWrap/>
            <w:vAlign w:val="center"/>
            <w:hideMark/>
          </w:tcPr>
          <w:p w14:paraId="6A3BC08F" w14:textId="77777777" w:rsidR="00490ABA" w:rsidRPr="00197F0C" w:rsidRDefault="00490ABA" w:rsidP="00857222">
            <w:pPr>
              <w:spacing w:after="0" w:line="240" w:lineRule="auto"/>
              <w:jc w:val="center"/>
              <w:rPr>
                <w:sz w:val="22"/>
              </w:rPr>
            </w:pPr>
            <w:r w:rsidRPr="00197F0C">
              <w:rPr>
                <w:sz w:val="22"/>
              </w:rPr>
              <w:t>17,0</w:t>
            </w:r>
          </w:p>
        </w:tc>
        <w:tc>
          <w:tcPr>
            <w:tcW w:w="850" w:type="dxa"/>
            <w:shd w:val="clear" w:color="auto" w:fill="auto"/>
            <w:noWrap/>
            <w:vAlign w:val="center"/>
            <w:hideMark/>
          </w:tcPr>
          <w:p w14:paraId="11572790" w14:textId="77777777" w:rsidR="00490ABA" w:rsidRPr="00197F0C" w:rsidRDefault="00490ABA" w:rsidP="00AF2C20">
            <w:pPr>
              <w:spacing w:after="0" w:line="240" w:lineRule="auto"/>
              <w:jc w:val="center"/>
              <w:rPr>
                <w:sz w:val="22"/>
              </w:rPr>
            </w:pPr>
            <w:r w:rsidRPr="00197F0C">
              <w:rPr>
                <w:sz w:val="22"/>
              </w:rPr>
              <w:t>15,1</w:t>
            </w:r>
          </w:p>
        </w:tc>
        <w:tc>
          <w:tcPr>
            <w:tcW w:w="1701" w:type="dxa"/>
            <w:shd w:val="clear" w:color="auto" w:fill="auto"/>
            <w:noWrap/>
            <w:vAlign w:val="center"/>
            <w:hideMark/>
          </w:tcPr>
          <w:p w14:paraId="57956B38" w14:textId="77777777" w:rsidR="00490ABA" w:rsidRPr="00197F0C" w:rsidRDefault="00490ABA" w:rsidP="00857222">
            <w:pPr>
              <w:spacing w:after="0" w:line="240" w:lineRule="auto"/>
              <w:jc w:val="center"/>
              <w:rPr>
                <w:sz w:val="22"/>
              </w:rPr>
            </w:pPr>
            <w:r w:rsidRPr="00197F0C">
              <w:rPr>
                <w:sz w:val="22"/>
              </w:rPr>
              <w:t>18,1</w:t>
            </w:r>
          </w:p>
        </w:tc>
        <w:tc>
          <w:tcPr>
            <w:tcW w:w="1701" w:type="dxa"/>
            <w:shd w:val="clear" w:color="auto" w:fill="auto"/>
            <w:noWrap/>
            <w:vAlign w:val="center"/>
            <w:hideMark/>
          </w:tcPr>
          <w:p w14:paraId="1A3F2E1F" w14:textId="77777777" w:rsidR="00490ABA" w:rsidRPr="00197F0C" w:rsidRDefault="00490ABA" w:rsidP="00857222">
            <w:pPr>
              <w:spacing w:after="0" w:line="240" w:lineRule="auto"/>
              <w:jc w:val="center"/>
              <w:rPr>
                <w:sz w:val="22"/>
              </w:rPr>
            </w:pPr>
            <w:r w:rsidRPr="00197F0C">
              <w:rPr>
                <w:sz w:val="22"/>
              </w:rPr>
              <w:t>19,4</w:t>
            </w:r>
          </w:p>
        </w:tc>
        <w:tc>
          <w:tcPr>
            <w:tcW w:w="1701" w:type="dxa"/>
            <w:shd w:val="clear" w:color="auto" w:fill="auto"/>
            <w:noWrap/>
            <w:vAlign w:val="center"/>
            <w:hideMark/>
          </w:tcPr>
          <w:p w14:paraId="04D90886" w14:textId="77777777" w:rsidR="00490ABA" w:rsidRPr="00197F0C" w:rsidRDefault="00490ABA" w:rsidP="00857222">
            <w:pPr>
              <w:spacing w:after="0" w:line="240" w:lineRule="auto"/>
              <w:jc w:val="center"/>
              <w:rPr>
                <w:sz w:val="22"/>
              </w:rPr>
            </w:pPr>
            <w:r w:rsidRPr="00197F0C">
              <w:rPr>
                <w:sz w:val="22"/>
              </w:rPr>
              <w:t>6,3</w:t>
            </w:r>
          </w:p>
        </w:tc>
        <w:tc>
          <w:tcPr>
            <w:tcW w:w="1701" w:type="dxa"/>
            <w:shd w:val="clear" w:color="auto" w:fill="auto"/>
            <w:noWrap/>
            <w:vAlign w:val="center"/>
            <w:hideMark/>
          </w:tcPr>
          <w:p w14:paraId="1528A512" w14:textId="77777777" w:rsidR="00490ABA" w:rsidRPr="00197F0C" w:rsidRDefault="00490ABA" w:rsidP="00857222">
            <w:pPr>
              <w:spacing w:after="0" w:line="240" w:lineRule="auto"/>
              <w:jc w:val="center"/>
              <w:rPr>
                <w:sz w:val="22"/>
              </w:rPr>
            </w:pPr>
            <w:r w:rsidRPr="00197F0C">
              <w:rPr>
                <w:sz w:val="22"/>
              </w:rPr>
              <w:t>59,5</w:t>
            </w:r>
          </w:p>
        </w:tc>
        <w:tc>
          <w:tcPr>
            <w:tcW w:w="1418" w:type="dxa"/>
            <w:shd w:val="clear" w:color="auto" w:fill="auto"/>
            <w:noWrap/>
            <w:vAlign w:val="center"/>
            <w:hideMark/>
          </w:tcPr>
          <w:p w14:paraId="53515358" w14:textId="77777777" w:rsidR="00490ABA" w:rsidRPr="00197F0C" w:rsidRDefault="00490ABA" w:rsidP="00857222">
            <w:pPr>
              <w:spacing w:after="0" w:line="240" w:lineRule="auto"/>
              <w:jc w:val="center"/>
              <w:rPr>
                <w:sz w:val="22"/>
              </w:rPr>
            </w:pPr>
            <w:r w:rsidRPr="00197F0C">
              <w:rPr>
                <w:sz w:val="22"/>
              </w:rPr>
              <w:t>51,9</w:t>
            </w:r>
          </w:p>
        </w:tc>
      </w:tr>
      <w:tr w:rsidR="00051A69" w:rsidRPr="00197F0C" w14:paraId="50A0A262" w14:textId="77777777" w:rsidTr="00B91DD9">
        <w:trPr>
          <w:trHeight w:val="115"/>
        </w:trPr>
        <w:tc>
          <w:tcPr>
            <w:tcW w:w="2469" w:type="dxa"/>
            <w:vMerge/>
            <w:vAlign w:val="center"/>
            <w:hideMark/>
          </w:tcPr>
          <w:p w14:paraId="32718E60" w14:textId="77777777" w:rsidR="00490ABA" w:rsidRPr="00197F0C" w:rsidRDefault="00490ABA" w:rsidP="00857222">
            <w:pPr>
              <w:spacing w:after="0" w:line="240" w:lineRule="auto"/>
              <w:jc w:val="left"/>
              <w:rPr>
                <w:sz w:val="22"/>
              </w:rPr>
            </w:pPr>
          </w:p>
        </w:tc>
        <w:tc>
          <w:tcPr>
            <w:tcW w:w="690" w:type="dxa"/>
            <w:shd w:val="clear" w:color="auto" w:fill="auto"/>
            <w:vAlign w:val="center"/>
            <w:hideMark/>
          </w:tcPr>
          <w:p w14:paraId="496FB4BE" w14:textId="77777777" w:rsidR="00490ABA" w:rsidRPr="00197F0C" w:rsidRDefault="00490ABA" w:rsidP="00197F0C">
            <w:pPr>
              <w:spacing w:after="0" w:line="240" w:lineRule="auto"/>
              <w:rPr>
                <w:sz w:val="22"/>
              </w:rPr>
            </w:pPr>
            <w:r w:rsidRPr="00197F0C">
              <w:rPr>
                <w:sz w:val="22"/>
              </w:rPr>
              <w:t>2014</w:t>
            </w:r>
          </w:p>
        </w:tc>
        <w:tc>
          <w:tcPr>
            <w:tcW w:w="1803" w:type="dxa"/>
            <w:shd w:val="clear" w:color="auto" w:fill="auto"/>
            <w:noWrap/>
            <w:vAlign w:val="center"/>
            <w:hideMark/>
          </w:tcPr>
          <w:p w14:paraId="5D75BBE2" w14:textId="77777777" w:rsidR="00490ABA" w:rsidRPr="00197F0C" w:rsidRDefault="00490ABA" w:rsidP="00857222">
            <w:pPr>
              <w:spacing w:after="0" w:line="240" w:lineRule="auto"/>
              <w:jc w:val="center"/>
              <w:rPr>
                <w:sz w:val="22"/>
              </w:rPr>
            </w:pPr>
            <w:r w:rsidRPr="00197F0C">
              <w:rPr>
                <w:sz w:val="22"/>
              </w:rPr>
              <w:t>18,1</w:t>
            </w:r>
          </w:p>
        </w:tc>
        <w:tc>
          <w:tcPr>
            <w:tcW w:w="850" w:type="dxa"/>
            <w:shd w:val="clear" w:color="auto" w:fill="auto"/>
            <w:noWrap/>
            <w:vAlign w:val="center"/>
            <w:hideMark/>
          </w:tcPr>
          <w:p w14:paraId="08B5A54C" w14:textId="77777777" w:rsidR="00490ABA" w:rsidRPr="00197F0C" w:rsidRDefault="00490ABA" w:rsidP="00AF2C20">
            <w:pPr>
              <w:spacing w:after="0" w:line="240" w:lineRule="auto"/>
              <w:jc w:val="center"/>
              <w:rPr>
                <w:sz w:val="22"/>
              </w:rPr>
            </w:pPr>
            <w:r w:rsidRPr="00197F0C">
              <w:rPr>
                <w:sz w:val="22"/>
              </w:rPr>
              <w:t>16,3</w:t>
            </w:r>
          </w:p>
        </w:tc>
        <w:tc>
          <w:tcPr>
            <w:tcW w:w="1701" w:type="dxa"/>
            <w:shd w:val="clear" w:color="auto" w:fill="auto"/>
            <w:noWrap/>
            <w:vAlign w:val="center"/>
            <w:hideMark/>
          </w:tcPr>
          <w:p w14:paraId="3B930012" w14:textId="77777777" w:rsidR="00490ABA" w:rsidRPr="00197F0C" w:rsidRDefault="00490ABA" w:rsidP="00857222">
            <w:pPr>
              <w:spacing w:after="0" w:line="240" w:lineRule="auto"/>
              <w:jc w:val="center"/>
              <w:rPr>
                <w:sz w:val="22"/>
              </w:rPr>
            </w:pPr>
            <w:r w:rsidRPr="00197F0C">
              <w:rPr>
                <w:sz w:val="22"/>
              </w:rPr>
              <w:t>17,9</w:t>
            </w:r>
          </w:p>
        </w:tc>
        <w:tc>
          <w:tcPr>
            <w:tcW w:w="1701" w:type="dxa"/>
            <w:shd w:val="clear" w:color="auto" w:fill="auto"/>
            <w:noWrap/>
            <w:vAlign w:val="center"/>
            <w:hideMark/>
          </w:tcPr>
          <w:p w14:paraId="11767381" w14:textId="77777777" w:rsidR="00490ABA" w:rsidRPr="00197F0C" w:rsidRDefault="00490ABA" w:rsidP="00857222">
            <w:pPr>
              <w:spacing w:after="0" w:line="240" w:lineRule="auto"/>
              <w:jc w:val="center"/>
              <w:rPr>
                <w:sz w:val="22"/>
              </w:rPr>
            </w:pPr>
            <w:r w:rsidRPr="00197F0C">
              <w:rPr>
                <w:sz w:val="22"/>
              </w:rPr>
              <w:t>20,7</w:t>
            </w:r>
          </w:p>
        </w:tc>
        <w:tc>
          <w:tcPr>
            <w:tcW w:w="1701" w:type="dxa"/>
            <w:shd w:val="clear" w:color="auto" w:fill="auto"/>
            <w:noWrap/>
            <w:vAlign w:val="center"/>
            <w:hideMark/>
          </w:tcPr>
          <w:p w14:paraId="0839E1DA" w14:textId="77777777" w:rsidR="00490ABA" w:rsidRPr="00197F0C" w:rsidRDefault="00490ABA" w:rsidP="00857222">
            <w:pPr>
              <w:spacing w:after="0" w:line="240" w:lineRule="auto"/>
              <w:jc w:val="center"/>
              <w:rPr>
                <w:sz w:val="22"/>
              </w:rPr>
            </w:pPr>
            <w:r w:rsidRPr="00197F0C">
              <w:rPr>
                <w:sz w:val="22"/>
              </w:rPr>
              <w:t>7,5</w:t>
            </w:r>
          </w:p>
        </w:tc>
        <w:tc>
          <w:tcPr>
            <w:tcW w:w="1701" w:type="dxa"/>
            <w:shd w:val="clear" w:color="auto" w:fill="auto"/>
            <w:noWrap/>
            <w:vAlign w:val="center"/>
            <w:hideMark/>
          </w:tcPr>
          <w:p w14:paraId="2F9A0E56" w14:textId="77777777" w:rsidR="00490ABA" w:rsidRPr="00197F0C" w:rsidRDefault="00490ABA" w:rsidP="00857222">
            <w:pPr>
              <w:spacing w:after="0" w:line="240" w:lineRule="auto"/>
              <w:jc w:val="center"/>
              <w:rPr>
                <w:sz w:val="22"/>
              </w:rPr>
            </w:pPr>
            <w:r w:rsidRPr="00197F0C">
              <w:rPr>
                <w:sz w:val="22"/>
              </w:rPr>
              <w:t>62,1</w:t>
            </w:r>
          </w:p>
        </w:tc>
        <w:tc>
          <w:tcPr>
            <w:tcW w:w="1418" w:type="dxa"/>
            <w:shd w:val="clear" w:color="auto" w:fill="auto"/>
            <w:noWrap/>
            <w:vAlign w:val="center"/>
            <w:hideMark/>
          </w:tcPr>
          <w:p w14:paraId="4424BE2D" w14:textId="77777777" w:rsidR="00490ABA" w:rsidRPr="00197F0C" w:rsidRDefault="00490ABA" w:rsidP="00857222">
            <w:pPr>
              <w:spacing w:after="0" w:line="240" w:lineRule="auto"/>
              <w:jc w:val="center"/>
              <w:rPr>
                <w:sz w:val="22"/>
              </w:rPr>
            </w:pPr>
            <w:r w:rsidRPr="00197F0C">
              <w:rPr>
                <w:sz w:val="22"/>
              </w:rPr>
              <w:t>45,6</w:t>
            </w:r>
          </w:p>
        </w:tc>
      </w:tr>
      <w:tr w:rsidR="00051A69" w:rsidRPr="00197F0C" w14:paraId="1C7C7E24" w14:textId="77777777" w:rsidTr="00B91DD9">
        <w:trPr>
          <w:trHeight w:val="182"/>
        </w:trPr>
        <w:tc>
          <w:tcPr>
            <w:tcW w:w="2469" w:type="dxa"/>
            <w:vMerge w:val="restart"/>
            <w:shd w:val="clear" w:color="auto" w:fill="DEEAF6" w:themeFill="accent1" w:themeFillTint="33"/>
            <w:vAlign w:val="center"/>
            <w:hideMark/>
          </w:tcPr>
          <w:p w14:paraId="3D8261DE" w14:textId="77777777" w:rsidR="00490ABA" w:rsidRPr="00197F0C" w:rsidRDefault="00490ABA" w:rsidP="00857222">
            <w:pPr>
              <w:spacing w:after="0" w:line="240" w:lineRule="auto"/>
              <w:jc w:val="left"/>
              <w:rPr>
                <w:sz w:val="22"/>
              </w:rPr>
            </w:pPr>
            <w:r w:rsidRPr="00197F0C">
              <w:rPr>
                <w:sz w:val="22"/>
              </w:rPr>
              <w:t>Mediana przychodów dla organizacji wykazujących przychody (tys. zł)</w:t>
            </w:r>
          </w:p>
        </w:tc>
        <w:tc>
          <w:tcPr>
            <w:tcW w:w="690" w:type="dxa"/>
            <w:shd w:val="clear" w:color="auto" w:fill="DEEAF6" w:themeFill="accent1" w:themeFillTint="33"/>
            <w:noWrap/>
            <w:vAlign w:val="center"/>
            <w:hideMark/>
          </w:tcPr>
          <w:p w14:paraId="4DF15A70" w14:textId="77777777" w:rsidR="00490ABA" w:rsidRPr="00197F0C" w:rsidRDefault="00490ABA" w:rsidP="00197F0C">
            <w:pPr>
              <w:spacing w:after="0" w:line="240" w:lineRule="auto"/>
              <w:rPr>
                <w:sz w:val="22"/>
              </w:rPr>
            </w:pPr>
            <w:r w:rsidRPr="00197F0C">
              <w:rPr>
                <w:sz w:val="22"/>
              </w:rPr>
              <w:t>2010</w:t>
            </w:r>
          </w:p>
        </w:tc>
        <w:tc>
          <w:tcPr>
            <w:tcW w:w="1803" w:type="dxa"/>
            <w:shd w:val="clear" w:color="auto" w:fill="DEEAF6" w:themeFill="accent1" w:themeFillTint="33"/>
            <w:noWrap/>
            <w:vAlign w:val="center"/>
            <w:hideMark/>
          </w:tcPr>
          <w:p w14:paraId="3F275DE5" w14:textId="77777777" w:rsidR="00490ABA" w:rsidRPr="00197F0C" w:rsidRDefault="00490ABA" w:rsidP="00857222">
            <w:pPr>
              <w:spacing w:after="0" w:line="240" w:lineRule="auto"/>
              <w:jc w:val="center"/>
              <w:rPr>
                <w:sz w:val="22"/>
              </w:rPr>
            </w:pPr>
            <w:r w:rsidRPr="00197F0C">
              <w:rPr>
                <w:sz w:val="22"/>
              </w:rPr>
              <w:t>23,5</w:t>
            </w:r>
          </w:p>
        </w:tc>
        <w:tc>
          <w:tcPr>
            <w:tcW w:w="850" w:type="dxa"/>
            <w:shd w:val="clear" w:color="auto" w:fill="DEEAF6" w:themeFill="accent1" w:themeFillTint="33"/>
            <w:noWrap/>
            <w:vAlign w:val="center"/>
            <w:hideMark/>
          </w:tcPr>
          <w:p w14:paraId="6449E08C" w14:textId="77777777" w:rsidR="00490ABA" w:rsidRPr="00197F0C" w:rsidRDefault="00490ABA" w:rsidP="00AF2C20">
            <w:pPr>
              <w:spacing w:after="0" w:line="240" w:lineRule="auto"/>
              <w:jc w:val="center"/>
              <w:rPr>
                <w:sz w:val="22"/>
              </w:rPr>
            </w:pPr>
            <w:r w:rsidRPr="00197F0C">
              <w:rPr>
                <w:sz w:val="22"/>
              </w:rPr>
              <w:t>21,1</w:t>
            </w:r>
          </w:p>
        </w:tc>
        <w:tc>
          <w:tcPr>
            <w:tcW w:w="1701" w:type="dxa"/>
            <w:shd w:val="clear" w:color="auto" w:fill="DEEAF6" w:themeFill="accent1" w:themeFillTint="33"/>
            <w:noWrap/>
            <w:vAlign w:val="center"/>
            <w:hideMark/>
          </w:tcPr>
          <w:p w14:paraId="01384A35" w14:textId="77777777" w:rsidR="00490ABA" w:rsidRPr="00197F0C" w:rsidRDefault="00490ABA" w:rsidP="00857222">
            <w:pPr>
              <w:spacing w:after="0" w:line="240" w:lineRule="auto"/>
              <w:jc w:val="center"/>
              <w:rPr>
                <w:sz w:val="22"/>
              </w:rPr>
            </w:pPr>
            <w:r w:rsidRPr="00197F0C">
              <w:rPr>
                <w:sz w:val="22"/>
              </w:rPr>
              <w:t>24,4</w:t>
            </w:r>
          </w:p>
        </w:tc>
        <w:tc>
          <w:tcPr>
            <w:tcW w:w="1701" w:type="dxa"/>
            <w:shd w:val="clear" w:color="auto" w:fill="DEEAF6" w:themeFill="accent1" w:themeFillTint="33"/>
            <w:noWrap/>
            <w:vAlign w:val="center"/>
            <w:hideMark/>
          </w:tcPr>
          <w:p w14:paraId="67838395" w14:textId="77777777" w:rsidR="00490ABA" w:rsidRPr="00197F0C" w:rsidRDefault="00490ABA" w:rsidP="00857222">
            <w:pPr>
              <w:spacing w:after="0" w:line="240" w:lineRule="auto"/>
              <w:jc w:val="center"/>
              <w:rPr>
                <w:sz w:val="22"/>
              </w:rPr>
            </w:pPr>
            <w:r w:rsidRPr="00197F0C">
              <w:rPr>
                <w:sz w:val="22"/>
              </w:rPr>
              <w:t>28,0</w:t>
            </w:r>
          </w:p>
        </w:tc>
        <w:tc>
          <w:tcPr>
            <w:tcW w:w="1701" w:type="dxa"/>
            <w:shd w:val="clear" w:color="auto" w:fill="DEEAF6" w:themeFill="accent1" w:themeFillTint="33"/>
            <w:noWrap/>
            <w:vAlign w:val="center"/>
            <w:hideMark/>
          </w:tcPr>
          <w:p w14:paraId="3B5BCB0A" w14:textId="77777777" w:rsidR="00490ABA" w:rsidRPr="00197F0C" w:rsidRDefault="00490ABA" w:rsidP="00857222">
            <w:pPr>
              <w:spacing w:after="0" w:line="240" w:lineRule="auto"/>
              <w:jc w:val="center"/>
              <w:rPr>
                <w:sz w:val="22"/>
              </w:rPr>
            </w:pPr>
            <w:r w:rsidRPr="00197F0C">
              <w:rPr>
                <w:sz w:val="22"/>
              </w:rPr>
              <w:t>7,6</w:t>
            </w:r>
          </w:p>
        </w:tc>
        <w:tc>
          <w:tcPr>
            <w:tcW w:w="1701" w:type="dxa"/>
            <w:shd w:val="clear" w:color="auto" w:fill="DEEAF6" w:themeFill="accent1" w:themeFillTint="33"/>
            <w:noWrap/>
            <w:vAlign w:val="center"/>
            <w:hideMark/>
          </w:tcPr>
          <w:p w14:paraId="4B8910C1" w14:textId="77777777" w:rsidR="00490ABA" w:rsidRPr="00197F0C" w:rsidRDefault="00490ABA" w:rsidP="00857222">
            <w:pPr>
              <w:spacing w:after="0" w:line="240" w:lineRule="auto"/>
              <w:jc w:val="center"/>
              <w:rPr>
                <w:sz w:val="22"/>
              </w:rPr>
            </w:pPr>
            <w:r w:rsidRPr="00197F0C">
              <w:rPr>
                <w:sz w:val="22"/>
              </w:rPr>
              <w:t>51,0</w:t>
            </w:r>
          </w:p>
        </w:tc>
        <w:tc>
          <w:tcPr>
            <w:tcW w:w="1418" w:type="dxa"/>
            <w:shd w:val="clear" w:color="auto" w:fill="DEEAF6" w:themeFill="accent1" w:themeFillTint="33"/>
            <w:noWrap/>
            <w:vAlign w:val="center"/>
            <w:hideMark/>
          </w:tcPr>
          <w:p w14:paraId="645498F3" w14:textId="77777777" w:rsidR="00490ABA" w:rsidRPr="00197F0C" w:rsidRDefault="00490ABA" w:rsidP="00857222">
            <w:pPr>
              <w:spacing w:after="0" w:line="240" w:lineRule="auto"/>
              <w:jc w:val="center"/>
              <w:rPr>
                <w:sz w:val="22"/>
              </w:rPr>
            </w:pPr>
            <w:r w:rsidRPr="00197F0C">
              <w:rPr>
                <w:sz w:val="22"/>
              </w:rPr>
              <w:t>86,8</w:t>
            </w:r>
          </w:p>
        </w:tc>
      </w:tr>
      <w:tr w:rsidR="00051A69" w:rsidRPr="00197F0C" w14:paraId="76D1D075" w14:textId="77777777" w:rsidTr="00B91DD9">
        <w:trPr>
          <w:trHeight w:val="197"/>
        </w:trPr>
        <w:tc>
          <w:tcPr>
            <w:tcW w:w="2469" w:type="dxa"/>
            <w:vMerge/>
            <w:shd w:val="clear" w:color="auto" w:fill="DEEAF6" w:themeFill="accent1" w:themeFillTint="33"/>
            <w:vAlign w:val="center"/>
            <w:hideMark/>
          </w:tcPr>
          <w:p w14:paraId="6EFFF913" w14:textId="77777777" w:rsidR="00490ABA" w:rsidRPr="00197F0C" w:rsidRDefault="00490ABA" w:rsidP="00197F0C">
            <w:pPr>
              <w:spacing w:after="0" w:line="240" w:lineRule="auto"/>
              <w:rPr>
                <w:sz w:val="22"/>
              </w:rPr>
            </w:pPr>
          </w:p>
        </w:tc>
        <w:tc>
          <w:tcPr>
            <w:tcW w:w="690" w:type="dxa"/>
            <w:shd w:val="clear" w:color="auto" w:fill="DEEAF6" w:themeFill="accent1" w:themeFillTint="33"/>
            <w:vAlign w:val="center"/>
            <w:hideMark/>
          </w:tcPr>
          <w:p w14:paraId="6D035179" w14:textId="77777777" w:rsidR="00490ABA" w:rsidRPr="00197F0C" w:rsidRDefault="00490ABA" w:rsidP="00197F0C">
            <w:pPr>
              <w:spacing w:after="0" w:line="240" w:lineRule="auto"/>
              <w:rPr>
                <w:sz w:val="22"/>
              </w:rPr>
            </w:pPr>
            <w:r w:rsidRPr="00197F0C">
              <w:rPr>
                <w:sz w:val="22"/>
              </w:rPr>
              <w:t>2012</w:t>
            </w:r>
          </w:p>
        </w:tc>
        <w:tc>
          <w:tcPr>
            <w:tcW w:w="1803" w:type="dxa"/>
            <w:shd w:val="clear" w:color="auto" w:fill="DEEAF6" w:themeFill="accent1" w:themeFillTint="33"/>
            <w:noWrap/>
            <w:vAlign w:val="center"/>
            <w:hideMark/>
          </w:tcPr>
          <w:p w14:paraId="33598DA9" w14:textId="77777777" w:rsidR="00490ABA" w:rsidRPr="00197F0C" w:rsidRDefault="00490ABA" w:rsidP="00857222">
            <w:pPr>
              <w:spacing w:after="0" w:line="240" w:lineRule="auto"/>
              <w:jc w:val="center"/>
              <w:rPr>
                <w:sz w:val="22"/>
              </w:rPr>
            </w:pPr>
            <w:r w:rsidRPr="00197F0C">
              <w:rPr>
                <w:sz w:val="22"/>
              </w:rPr>
              <w:t>21,6</w:t>
            </w:r>
          </w:p>
        </w:tc>
        <w:tc>
          <w:tcPr>
            <w:tcW w:w="850" w:type="dxa"/>
            <w:shd w:val="clear" w:color="auto" w:fill="DEEAF6" w:themeFill="accent1" w:themeFillTint="33"/>
            <w:noWrap/>
            <w:vAlign w:val="center"/>
            <w:hideMark/>
          </w:tcPr>
          <w:p w14:paraId="0D9C6C3B" w14:textId="77777777" w:rsidR="00490ABA" w:rsidRPr="00197F0C" w:rsidRDefault="00490ABA" w:rsidP="00AF2C20">
            <w:pPr>
              <w:spacing w:after="0" w:line="240" w:lineRule="auto"/>
              <w:jc w:val="center"/>
              <w:rPr>
                <w:sz w:val="22"/>
              </w:rPr>
            </w:pPr>
            <w:r w:rsidRPr="00197F0C">
              <w:rPr>
                <w:sz w:val="22"/>
              </w:rPr>
              <w:t>20,0</w:t>
            </w:r>
          </w:p>
        </w:tc>
        <w:tc>
          <w:tcPr>
            <w:tcW w:w="1701" w:type="dxa"/>
            <w:shd w:val="clear" w:color="auto" w:fill="DEEAF6" w:themeFill="accent1" w:themeFillTint="33"/>
            <w:noWrap/>
            <w:vAlign w:val="center"/>
            <w:hideMark/>
          </w:tcPr>
          <w:p w14:paraId="44F0D31F" w14:textId="77777777" w:rsidR="00490ABA" w:rsidRPr="00197F0C" w:rsidRDefault="00490ABA" w:rsidP="00857222">
            <w:pPr>
              <w:spacing w:after="0" w:line="240" w:lineRule="auto"/>
              <w:jc w:val="center"/>
              <w:rPr>
                <w:sz w:val="22"/>
              </w:rPr>
            </w:pPr>
            <w:r w:rsidRPr="00197F0C">
              <w:rPr>
                <w:sz w:val="22"/>
              </w:rPr>
              <w:t>22,1</w:t>
            </w:r>
          </w:p>
        </w:tc>
        <w:tc>
          <w:tcPr>
            <w:tcW w:w="1701" w:type="dxa"/>
            <w:shd w:val="clear" w:color="auto" w:fill="DEEAF6" w:themeFill="accent1" w:themeFillTint="33"/>
            <w:noWrap/>
            <w:vAlign w:val="center"/>
            <w:hideMark/>
          </w:tcPr>
          <w:p w14:paraId="65E0353C" w14:textId="77777777" w:rsidR="00490ABA" w:rsidRPr="00197F0C" w:rsidRDefault="00490ABA" w:rsidP="00857222">
            <w:pPr>
              <w:spacing w:after="0" w:line="240" w:lineRule="auto"/>
              <w:jc w:val="center"/>
              <w:rPr>
                <w:sz w:val="22"/>
              </w:rPr>
            </w:pPr>
            <w:r w:rsidRPr="00197F0C">
              <w:rPr>
                <w:sz w:val="22"/>
              </w:rPr>
              <w:t>28,6</w:t>
            </w:r>
          </w:p>
        </w:tc>
        <w:tc>
          <w:tcPr>
            <w:tcW w:w="1701" w:type="dxa"/>
            <w:shd w:val="clear" w:color="auto" w:fill="DEEAF6" w:themeFill="accent1" w:themeFillTint="33"/>
            <w:noWrap/>
            <w:vAlign w:val="center"/>
            <w:hideMark/>
          </w:tcPr>
          <w:p w14:paraId="65672AFE" w14:textId="77777777" w:rsidR="00490ABA" w:rsidRPr="00197F0C" w:rsidRDefault="00490ABA" w:rsidP="00857222">
            <w:pPr>
              <w:spacing w:after="0" w:line="240" w:lineRule="auto"/>
              <w:jc w:val="center"/>
              <w:rPr>
                <w:sz w:val="22"/>
              </w:rPr>
            </w:pPr>
            <w:r w:rsidRPr="00197F0C">
              <w:rPr>
                <w:sz w:val="22"/>
              </w:rPr>
              <w:t>7,7</w:t>
            </w:r>
          </w:p>
        </w:tc>
        <w:tc>
          <w:tcPr>
            <w:tcW w:w="1701" w:type="dxa"/>
            <w:shd w:val="clear" w:color="auto" w:fill="DEEAF6" w:themeFill="accent1" w:themeFillTint="33"/>
            <w:noWrap/>
            <w:vAlign w:val="center"/>
            <w:hideMark/>
          </w:tcPr>
          <w:p w14:paraId="41E93734" w14:textId="77777777" w:rsidR="00490ABA" w:rsidRPr="00197F0C" w:rsidRDefault="00490ABA" w:rsidP="00857222">
            <w:pPr>
              <w:spacing w:after="0" w:line="240" w:lineRule="auto"/>
              <w:jc w:val="center"/>
              <w:rPr>
                <w:sz w:val="22"/>
              </w:rPr>
            </w:pPr>
            <w:r w:rsidRPr="00197F0C">
              <w:rPr>
                <w:sz w:val="22"/>
              </w:rPr>
              <w:t>59,5</w:t>
            </w:r>
          </w:p>
        </w:tc>
        <w:tc>
          <w:tcPr>
            <w:tcW w:w="1418" w:type="dxa"/>
            <w:shd w:val="clear" w:color="auto" w:fill="DEEAF6" w:themeFill="accent1" w:themeFillTint="33"/>
            <w:noWrap/>
            <w:vAlign w:val="center"/>
            <w:hideMark/>
          </w:tcPr>
          <w:p w14:paraId="2AF79312" w14:textId="77777777" w:rsidR="00490ABA" w:rsidRPr="00197F0C" w:rsidRDefault="00490ABA" w:rsidP="00857222">
            <w:pPr>
              <w:spacing w:after="0" w:line="240" w:lineRule="auto"/>
              <w:jc w:val="center"/>
              <w:rPr>
                <w:sz w:val="22"/>
              </w:rPr>
            </w:pPr>
            <w:r w:rsidRPr="00197F0C">
              <w:rPr>
                <w:sz w:val="22"/>
              </w:rPr>
              <w:t>69,4</w:t>
            </w:r>
          </w:p>
        </w:tc>
      </w:tr>
      <w:tr w:rsidR="00051A69" w:rsidRPr="00197F0C" w14:paraId="5FE80BA1" w14:textId="77777777" w:rsidTr="00B91DD9">
        <w:trPr>
          <w:trHeight w:val="54"/>
        </w:trPr>
        <w:tc>
          <w:tcPr>
            <w:tcW w:w="2469" w:type="dxa"/>
            <w:vMerge/>
            <w:shd w:val="clear" w:color="auto" w:fill="DEEAF6" w:themeFill="accent1" w:themeFillTint="33"/>
            <w:vAlign w:val="center"/>
            <w:hideMark/>
          </w:tcPr>
          <w:p w14:paraId="6A371E2C" w14:textId="77777777" w:rsidR="00490ABA" w:rsidRPr="00197F0C" w:rsidRDefault="00490ABA" w:rsidP="00197F0C">
            <w:pPr>
              <w:spacing w:after="0" w:line="240" w:lineRule="auto"/>
              <w:rPr>
                <w:sz w:val="22"/>
              </w:rPr>
            </w:pPr>
          </w:p>
        </w:tc>
        <w:tc>
          <w:tcPr>
            <w:tcW w:w="690" w:type="dxa"/>
            <w:shd w:val="clear" w:color="auto" w:fill="DEEAF6" w:themeFill="accent1" w:themeFillTint="33"/>
            <w:vAlign w:val="center"/>
            <w:hideMark/>
          </w:tcPr>
          <w:p w14:paraId="5F8D7FFC" w14:textId="77777777" w:rsidR="00490ABA" w:rsidRPr="00197F0C" w:rsidRDefault="00490ABA" w:rsidP="00197F0C">
            <w:pPr>
              <w:spacing w:after="0" w:line="240" w:lineRule="auto"/>
              <w:rPr>
                <w:sz w:val="22"/>
              </w:rPr>
            </w:pPr>
            <w:r w:rsidRPr="00197F0C">
              <w:rPr>
                <w:sz w:val="22"/>
              </w:rPr>
              <w:t>2014</w:t>
            </w:r>
          </w:p>
        </w:tc>
        <w:tc>
          <w:tcPr>
            <w:tcW w:w="1803" w:type="dxa"/>
            <w:shd w:val="clear" w:color="auto" w:fill="DEEAF6" w:themeFill="accent1" w:themeFillTint="33"/>
            <w:noWrap/>
            <w:vAlign w:val="center"/>
            <w:hideMark/>
          </w:tcPr>
          <w:p w14:paraId="5273C601" w14:textId="77777777" w:rsidR="00490ABA" w:rsidRPr="00197F0C" w:rsidRDefault="00490ABA" w:rsidP="00857222">
            <w:pPr>
              <w:spacing w:after="0" w:line="240" w:lineRule="auto"/>
              <w:jc w:val="center"/>
              <w:rPr>
                <w:sz w:val="22"/>
              </w:rPr>
            </w:pPr>
            <w:r w:rsidRPr="00197F0C">
              <w:rPr>
                <w:sz w:val="22"/>
              </w:rPr>
              <w:t>23,3</w:t>
            </w:r>
          </w:p>
        </w:tc>
        <w:tc>
          <w:tcPr>
            <w:tcW w:w="850" w:type="dxa"/>
            <w:shd w:val="clear" w:color="auto" w:fill="DEEAF6" w:themeFill="accent1" w:themeFillTint="33"/>
            <w:noWrap/>
            <w:vAlign w:val="center"/>
            <w:hideMark/>
          </w:tcPr>
          <w:p w14:paraId="3E7FFDF0" w14:textId="77777777" w:rsidR="00490ABA" w:rsidRPr="00197F0C" w:rsidRDefault="00490ABA" w:rsidP="00AF2C20">
            <w:pPr>
              <w:spacing w:after="0" w:line="240" w:lineRule="auto"/>
              <w:jc w:val="center"/>
              <w:rPr>
                <w:sz w:val="22"/>
              </w:rPr>
            </w:pPr>
            <w:r w:rsidRPr="00197F0C">
              <w:rPr>
                <w:sz w:val="22"/>
              </w:rPr>
              <w:t>20,8</w:t>
            </w:r>
          </w:p>
        </w:tc>
        <w:tc>
          <w:tcPr>
            <w:tcW w:w="1701" w:type="dxa"/>
            <w:shd w:val="clear" w:color="auto" w:fill="DEEAF6" w:themeFill="accent1" w:themeFillTint="33"/>
            <w:noWrap/>
            <w:vAlign w:val="center"/>
            <w:hideMark/>
          </w:tcPr>
          <w:p w14:paraId="4F3DB767" w14:textId="77777777" w:rsidR="00490ABA" w:rsidRPr="00197F0C" w:rsidRDefault="00490ABA" w:rsidP="00857222">
            <w:pPr>
              <w:spacing w:after="0" w:line="240" w:lineRule="auto"/>
              <w:jc w:val="center"/>
              <w:rPr>
                <w:sz w:val="22"/>
              </w:rPr>
            </w:pPr>
            <w:r w:rsidRPr="00197F0C">
              <w:rPr>
                <w:sz w:val="22"/>
              </w:rPr>
              <w:t>21,6</w:t>
            </w:r>
          </w:p>
        </w:tc>
        <w:tc>
          <w:tcPr>
            <w:tcW w:w="1701" w:type="dxa"/>
            <w:shd w:val="clear" w:color="auto" w:fill="DEEAF6" w:themeFill="accent1" w:themeFillTint="33"/>
            <w:noWrap/>
            <w:vAlign w:val="center"/>
            <w:hideMark/>
          </w:tcPr>
          <w:p w14:paraId="0DB1D4BF" w14:textId="77777777" w:rsidR="00490ABA" w:rsidRPr="00197F0C" w:rsidRDefault="00490ABA" w:rsidP="00857222">
            <w:pPr>
              <w:spacing w:after="0" w:line="240" w:lineRule="auto"/>
              <w:jc w:val="center"/>
              <w:rPr>
                <w:sz w:val="22"/>
              </w:rPr>
            </w:pPr>
            <w:r w:rsidRPr="00197F0C">
              <w:rPr>
                <w:sz w:val="22"/>
              </w:rPr>
              <w:t>28,9</w:t>
            </w:r>
          </w:p>
        </w:tc>
        <w:tc>
          <w:tcPr>
            <w:tcW w:w="1701" w:type="dxa"/>
            <w:shd w:val="clear" w:color="auto" w:fill="DEEAF6" w:themeFill="accent1" w:themeFillTint="33"/>
            <w:noWrap/>
            <w:vAlign w:val="center"/>
            <w:hideMark/>
          </w:tcPr>
          <w:p w14:paraId="7A3B4D32" w14:textId="77777777" w:rsidR="00490ABA" w:rsidRPr="00197F0C" w:rsidRDefault="00490ABA" w:rsidP="00857222">
            <w:pPr>
              <w:spacing w:after="0" w:line="240" w:lineRule="auto"/>
              <w:jc w:val="center"/>
              <w:rPr>
                <w:sz w:val="22"/>
              </w:rPr>
            </w:pPr>
            <w:r w:rsidRPr="00197F0C">
              <w:rPr>
                <w:sz w:val="22"/>
              </w:rPr>
              <w:t>8,9</w:t>
            </w:r>
          </w:p>
        </w:tc>
        <w:tc>
          <w:tcPr>
            <w:tcW w:w="1701" w:type="dxa"/>
            <w:shd w:val="clear" w:color="auto" w:fill="DEEAF6" w:themeFill="accent1" w:themeFillTint="33"/>
            <w:noWrap/>
            <w:vAlign w:val="center"/>
            <w:hideMark/>
          </w:tcPr>
          <w:p w14:paraId="500D5EA4" w14:textId="77777777" w:rsidR="00490ABA" w:rsidRPr="00197F0C" w:rsidRDefault="00490ABA" w:rsidP="00857222">
            <w:pPr>
              <w:spacing w:after="0" w:line="240" w:lineRule="auto"/>
              <w:jc w:val="center"/>
              <w:rPr>
                <w:sz w:val="22"/>
              </w:rPr>
            </w:pPr>
            <w:r w:rsidRPr="00197F0C">
              <w:rPr>
                <w:sz w:val="22"/>
              </w:rPr>
              <w:t>62,1</w:t>
            </w:r>
          </w:p>
        </w:tc>
        <w:tc>
          <w:tcPr>
            <w:tcW w:w="1418" w:type="dxa"/>
            <w:shd w:val="clear" w:color="auto" w:fill="DEEAF6" w:themeFill="accent1" w:themeFillTint="33"/>
            <w:noWrap/>
            <w:vAlign w:val="center"/>
            <w:hideMark/>
          </w:tcPr>
          <w:p w14:paraId="2BF48D93" w14:textId="77777777" w:rsidR="00490ABA" w:rsidRPr="00197F0C" w:rsidRDefault="00490ABA" w:rsidP="00857222">
            <w:pPr>
              <w:keepNext/>
              <w:spacing w:after="0" w:line="240" w:lineRule="auto"/>
              <w:jc w:val="center"/>
              <w:rPr>
                <w:sz w:val="22"/>
              </w:rPr>
            </w:pPr>
            <w:r w:rsidRPr="00197F0C">
              <w:rPr>
                <w:sz w:val="22"/>
              </w:rPr>
              <w:t>63,3</w:t>
            </w:r>
          </w:p>
        </w:tc>
      </w:tr>
    </w:tbl>
    <w:p w14:paraId="491044E0" w14:textId="77777777" w:rsidR="00051A69" w:rsidRDefault="00051A69" w:rsidP="00490ABA">
      <w:pPr>
        <w:sectPr w:rsidR="00051A69" w:rsidSect="00051A69">
          <w:pgSz w:w="16838" w:h="11906" w:orient="landscape" w:code="9"/>
          <w:pgMar w:top="1418" w:right="1418" w:bottom="1418" w:left="1418" w:header="709" w:footer="709" w:gutter="0"/>
          <w:cols w:space="708"/>
          <w:docGrid w:linePitch="360"/>
        </w:sectPr>
      </w:pPr>
    </w:p>
    <w:p w14:paraId="799CA05C" w14:textId="0B1943FB" w:rsidR="00490ABA" w:rsidRPr="00490ABA" w:rsidRDefault="00490ABA" w:rsidP="00490ABA">
      <w:r w:rsidRPr="00490ABA">
        <w:lastRenderedPageBreak/>
        <w:t xml:space="preserve">Zaznaczyć </w:t>
      </w:r>
      <w:r w:rsidR="0069120B">
        <w:t xml:space="preserve">w tym miejscu </w:t>
      </w:r>
      <w:r w:rsidRPr="00490ABA">
        <w:t>trzeba, że</w:t>
      </w:r>
      <w:r w:rsidR="00051A69">
        <w:t xml:space="preserve"> 14</w:t>
      </w:r>
      <w:r w:rsidRPr="00490ABA">
        <w:t>% organizacji posiadało w roku 2014 budżety</w:t>
      </w:r>
      <w:r w:rsidR="000C1CE1">
        <w:t xml:space="preserve"> roczne nieprzekraczające 1 tys</w:t>
      </w:r>
      <w:r w:rsidRPr="00490ABA">
        <w:t>. zł, co klasyfikuje je praktycznie jako organizacje działające bez zaangażowania środków finansowych. 40% organizacji wykazało do 10 tys. zł rocznego przychodu. Powyżej 10 tys. zł, ale nie więcej niż 100 tys. zł, uzyskało 37% organizacji.</w:t>
      </w:r>
    </w:p>
    <w:p w14:paraId="08C0D1A7" w14:textId="0B062E70" w:rsidR="00490ABA" w:rsidRDefault="00490ABA" w:rsidP="00490ABA">
      <w:r w:rsidRPr="00490ABA">
        <w:t xml:space="preserve">Skala zróżnicowania przychodów i rozwarstwienia ekonomicznego w sektorze pogłębia się </w:t>
      </w:r>
      <w:r w:rsidR="0043302C">
        <w:t xml:space="preserve">ponadto </w:t>
      </w:r>
      <w:r w:rsidRPr="00490ABA">
        <w:t>o różnice w strukturze przychodów w zależności od lokalizacji organizacji. W 2014 roku przeciętne przychody organizacji z terenów wiejskich wynosiły 17 tys. zł, a im większa była miejscowość, w której stowarzyszenia i fundacje</w:t>
      </w:r>
      <w:r w:rsidR="0043302C">
        <w:t xml:space="preserve"> posiadały swoją </w:t>
      </w:r>
      <w:r w:rsidR="0043302C" w:rsidRPr="00490ABA">
        <w:t>siedzibę</w:t>
      </w:r>
      <w:r w:rsidRPr="00490ABA">
        <w:t xml:space="preserve">, tym wyższy był ich przeciętny budżet – w miastach do 50 tys. mieszkańców wynosił on ok. 22 tys. zł, w miastach między 50 a 200 tys. mieszkańców </w:t>
      </w:r>
      <w:r w:rsidR="0043302C">
        <w:t>stanowił 29 tys. zł</w:t>
      </w:r>
      <w:r w:rsidRPr="00490ABA">
        <w:t xml:space="preserve">, </w:t>
      </w:r>
      <w:r w:rsidR="0069120B">
        <w:t xml:space="preserve">natomiast </w:t>
      </w:r>
      <w:r w:rsidRPr="00490ABA">
        <w:t xml:space="preserve">w miastach powyżej 200 tys. mieszkańców wynosił 69 tys. zł, a w </w:t>
      </w:r>
      <w:r w:rsidR="0043302C">
        <w:t xml:space="preserve">samej Warszawie – </w:t>
      </w:r>
      <w:r w:rsidRPr="00490ABA">
        <w:t>94 tys. zł.</w:t>
      </w:r>
    </w:p>
    <w:p w14:paraId="2A915B81" w14:textId="1B4B92BE" w:rsidR="00D65208" w:rsidRDefault="00D65208" w:rsidP="00D65208">
      <w:pPr>
        <w:pStyle w:val="Legenda"/>
        <w:keepNext/>
      </w:pPr>
      <w:bookmarkStart w:id="20" w:name="_Toc511125935"/>
      <w:r>
        <w:t xml:space="preserve">Wykres </w:t>
      </w:r>
      <w:r w:rsidR="00876468">
        <w:fldChar w:fldCharType="begin"/>
      </w:r>
      <w:r w:rsidR="00876468">
        <w:instrText xml:space="preserve"> SEQ Wykres \* ARABIC </w:instrText>
      </w:r>
      <w:r w:rsidR="00876468">
        <w:fldChar w:fldCharType="separate"/>
      </w:r>
      <w:r w:rsidR="00E74C5A">
        <w:rPr>
          <w:noProof/>
        </w:rPr>
        <w:t>7</w:t>
      </w:r>
      <w:r w:rsidR="00876468">
        <w:rPr>
          <w:noProof/>
        </w:rPr>
        <w:fldChar w:fldCharType="end"/>
      </w:r>
      <w:r w:rsidR="00E54DFE">
        <w:rPr>
          <w:noProof/>
        </w:rPr>
        <w:t>.</w:t>
      </w:r>
      <w:r w:rsidRPr="00D65208">
        <w:t xml:space="preserve"> </w:t>
      </w:r>
      <w:r w:rsidRPr="00490ABA">
        <w:t>Struktura przychodów w zależności od lokalizacji organizacji</w:t>
      </w:r>
      <w:r>
        <w:t xml:space="preserve"> w %, ź</w:t>
      </w:r>
      <w:r w:rsidRPr="00490ABA">
        <w:t>ródło: Kondycja sektor</w:t>
      </w:r>
      <w:r>
        <w:t>a organizacji pozarządowych w </w:t>
      </w:r>
      <w:r w:rsidRPr="00490ABA">
        <w:t>Polsce 2015. Raport z badań, KLON/JAWOR 2016</w:t>
      </w:r>
      <w:bookmarkEnd w:id="20"/>
    </w:p>
    <w:p w14:paraId="2ECF7178" w14:textId="21FE64CC" w:rsidR="005D49FD" w:rsidRPr="005D49FD" w:rsidRDefault="005D49FD" w:rsidP="005D49FD">
      <w:r>
        <w:rPr>
          <w:noProof/>
          <w:lang w:eastAsia="pl-PL"/>
        </w:rPr>
        <w:drawing>
          <wp:inline distT="0" distB="0" distL="0" distR="0" wp14:anchorId="376DAD84" wp14:editId="14485D1A">
            <wp:extent cx="5759450" cy="3467100"/>
            <wp:effectExtent l="0" t="0" r="0" b="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2118473" w14:textId="2CDBC4E7" w:rsidR="00490ABA" w:rsidRPr="00490ABA" w:rsidRDefault="00490ABA" w:rsidP="00490ABA">
      <w:r w:rsidRPr="00490ABA">
        <w:t xml:space="preserve">Związek rozwarstwienia ekonomicznego i struktury przychodów organizacji z ich lokalizacją oznacza, że organizacje z mniejszych miejscowości działają głównie na podstawie małych grantów </w:t>
      </w:r>
      <w:r w:rsidR="0043302C">
        <w:t>i to one dominują</w:t>
      </w:r>
      <w:r w:rsidRPr="00490ABA">
        <w:t xml:space="preserve"> w ich strukturze przychodów, natomiast im większa miejscowość</w:t>
      </w:r>
      <w:r w:rsidR="0069120B">
        <w:t>,</w:t>
      </w:r>
      <w:r w:rsidRPr="00490ABA">
        <w:t xml:space="preserve"> tym bardziej </w:t>
      </w:r>
      <w:r w:rsidR="0043302C">
        <w:t>wzrasta</w:t>
      </w:r>
      <w:r w:rsidRPr="00490ABA">
        <w:t xml:space="preserve"> udział dużych dotacji. Prawidłowości tej nie da się do końca uzasadnić specyfiką środowiskową działalności w poszczególnych typach lokalizacji. Mamy tu raczej </w:t>
      </w:r>
      <w:r w:rsidR="00E54DFE">
        <w:br/>
      </w:r>
      <w:r w:rsidRPr="00490ABA">
        <w:t xml:space="preserve">do czynienia ze zjawiskiem nierównych szans i nierównego dostępu do środków, </w:t>
      </w:r>
      <w:r w:rsidRPr="00490ABA">
        <w:lastRenderedPageBreak/>
        <w:t>sprawiającym</w:t>
      </w:r>
      <w:r w:rsidR="0069120B">
        <w:t>,</w:t>
      </w:r>
      <w:r w:rsidRPr="00490ABA">
        <w:t xml:space="preserve"> </w:t>
      </w:r>
      <w:r w:rsidR="00E54DFE">
        <w:br/>
      </w:r>
      <w:r w:rsidRPr="00490ABA">
        <w:t xml:space="preserve">że organizacje z terenów wiejskich, odległych od centrów dystrybuujących środki, korzystają głównie z małych funduszy przeznaczonych na </w:t>
      </w:r>
      <w:r w:rsidR="0043302C">
        <w:t>niewielkie</w:t>
      </w:r>
      <w:r w:rsidRPr="00490ABA">
        <w:t xml:space="preserve"> lokalne przedsięwzięcia</w:t>
      </w:r>
      <w:r w:rsidR="0069120B">
        <w:t>.</w:t>
      </w:r>
      <w:r w:rsidRPr="00490ABA">
        <w:t xml:space="preserve"> </w:t>
      </w:r>
      <w:r w:rsidR="0043302C">
        <w:t>Tymczasem o</w:t>
      </w:r>
      <w:r w:rsidRPr="00490ABA">
        <w:t xml:space="preserve"> dostęp do </w:t>
      </w:r>
      <w:r w:rsidR="00A762F4">
        <w:t xml:space="preserve">większych </w:t>
      </w:r>
      <w:r w:rsidRPr="00490ABA">
        <w:t xml:space="preserve">grantów </w:t>
      </w:r>
      <w:r w:rsidR="00A762F4">
        <w:t xml:space="preserve">toczy się </w:t>
      </w:r>
      <w:r w:rsidRPr="00490ABA">
        <w:t>ostra rywa</w:t>
      </w:r>
      <w:r w:rsidR="00103D54">
        <w:t xml:space="preserve">lizacja i konkurencja, w której zazwyczaj, biorąc pod uwagę wysoki poziom i konkurencję, zwycięskie są </w:t>
      </w:r>
      <w:r w:rsidRPr="00490ABA">
        <w:t xml:space="preserve">duże organizacje </w:t>
      </w:r>
      <w:r w:rsidR="00A762F4">
        <w:br/>
        <w:t xml:space="preserve">o największym potencjale i doświadczeniu, </w:t>
      </w:r>
      <w:r w:rsidRPr="00490ABA">
        <w:t xml:space="preserve">działające głównie w </w:t>
      </w:r>
      <w:r w:rsidR="00F825AC">
        <w:t xml:space="preserve">metropoliach i </w:t>
      </w:r>
      <w:r w:rsidR="00A762F4">
        <w:t xml:space="preserve">dużych </w:t>
      </w:r>
      <w:r w:rsidR="005D49FD">
        <w:t>ośrodkach</w:t>
      </w:r>
      <w:r w:rsidR="00F825AC">
        <w:t xml:space="preserve"> miejskich</w:t>
      </w:r>
      <w:r w:rsidR="005D49FD">
        <w:t>.</w:t>
      </w:r>
    </w:p>
    <w:p w14:paraId="1512F371" w14:textId="0C478D32" w:rsidR="00490ABA" w:rsidRPr="00490ABA" w:rsidRDefault="00490ABA" w:rsidP="00490ABA">
      <w:r w:rsidRPr="00490ABA">
        <w:t xml:space="preserve">Zjawisko rozwarstwienia, czy też </w:t>
      </w:r>
      <w:proofErr w:type="spellStart"/>
      <w:r w:rsidRPr="00490ABA">
        <w:t>oligarchizacji</w:t>
      </w:r>
      <w:proofErr w:type="spellEnd"/>
      <w:r w:rsidRPr="00490ABA">
        <w:t xml:space="preserve"> znajduje swoje odzwierciedlenie także </w:t>
      </w:r>
      <w:r w:rsidR="00C1545F">
        <w:br/>
      </w:r>
      <w:r w:rsidRPr="00490ABA">
        <w:t xml:space="preserve">w </w:t>
      </w:r>
      <w:r w:rsidR="00A367D5">
        <w:t xml:space="preserve">zestawieniach </w:t>
      </w:r>
      <w:r w:rsidRPr="00490ABA">
        <w:t>or</w:t>
      </w:r>
      <w:r w:rsidR="0069120B">
        <w:t>ganizacji posiadających status organizacji pożytku p</w:t>
      </w:r>
      <w:r w:rsidRPr="00490ABA">
        <w:t>ublicznego</w:t>
      </w:r>
      <w:r w:rsidR="0069120B">
        <w:t xml:space="preserve"> (OPP)</w:t>
      </w:r>
      <w:r w:rsidRPr="00490ABA">
        <w:t xml:space="preserve">. Liczba </w:t>
      </w:r>
      <w:r w:rsidR="00A367D5">
        <w:br/>
      </w:r>
      <w:r w:rsidRPr="00490ABA">
        <w:t xml:space="preserve">OPP wzrosła z 4,1 tys. w 2005 r. do 8,2 tys. w 2015 r., a kwota przekazywanych im środków </w:t>
      </w:r>
      <w:r w:rsidR="00C1545F">
        <w:br/>
      </w:r>
      <w:r w:rsidRPr="00490ABA">
        <w:t xml:space="preserve">z jednoprocentowego odpisu podatku dochodowego od osób fizycznych z 42 </w:t>
      </w:r>
      <w:r w:rsidR="00A367D5">
        <w:t>mln zł do 618 mln zł. Spośród 8 </w:t>
      </w:r>
      <w:r w:rsidRPr="00490ABA">
        <w:t xml:space="preserve">108 OPP, które otrzymały łącznie 617,5 mln zł jednoprocentowego odpisu </w:t>
      </w:r>
      <w:r w:rsidR="0069120B">
        <w:br/>
      </w:r>
      <w:r w:rsidRPr="00490ABA">
        <w:t xml:space="preserve">od podatku dochodowego osób fizycznych za 2015 r., do 30 organizacji trafiło 51,3% środków. Wzrost liczby OPP i wzrost funduszy pochodzących z mechanizmu 1% nie przekłada się wiec </w:t>
      </w:r>
      <w:r w:rsidR="0069120B">
        <w:br/>
      </w:r>
      <w:r w:rsidRPr="00490ABA">
        <w:t xml:space="preserve">na rozwój całego </w:t>
      </w:r>
      <w:r w:rsidR="00A367D5">
        <w:t xml:space="preserve">segmentu </w:t>
      </w:r>
      <w:r w:rsidRPr="00490ABA">
        <w:t xml:space="preserve">organizacji ze statusem OPP, </w:t>
      </w:r>
      <w:r w:rsidR="00103D54">
        <w:t>ponieważ</w:t>
      </w:r>
      <w:r w:rsidRPr="00490ABA">
        <w:t xml:space="preserve"> środki trafiają w większości </w:t>
      </w:r>
      <w:r w:rsidR="0069120B">
        <w:br/>
      </w:r>
      <w:r w:rsidRPr="00490ABA">
        <w:t>do wąskiej grupy wysokobudżetowych organizacji (0,3% organizacji ze statusem OPP otrzymuje ok</w:t>
      </w:r>
      <w:r w:rsidR="0069120B">
        <w:t>.</w:t>
      </w:r>
      <w:r w:rsidR="00103D54">
        <w:t xml:space="preserve"> 50</w:t>
      </w:r>
      <w:r w:rsidRPr="00490ABA">
        <w:t>% zgromadzonych środków)</w:t>
      </w:r>
      <w:r w:rsidRPr="00490ABA">
        <w:rPr>
          <w:vertAlign w:val="superscript"/>
        </w:rPr>
        <w:footnoteReference w:id="6"/>
      </w:r>
      <w:r w:rsidRPr="00490ABA">
        <w:t xml:space="preserve">. Średnia wartość środków uzyskanych przez organizacje pożytku publicznego z 1% podatku dochodowego od osób fizycznych wyniosła </w:t>
      </w:r>
      <w:r w:rsidR="00C1545F">
        <w:br/>
      </w:r>
      <w:r w:rsidR="00CB486D">
        <w:t xml:space="preserve">aż 63,4 tys. </w:t>
      </w:r>
      <w:r w:rsidR="0069120B">
        <w:t>z</w:t>
      </w:r>
      <w:r w:rsidR="00CB486D">
        <w:t>ł</w:t>
      </w:r>
      <w:r w:rsidR="0069120B">
        <w:t>,</w:t>
      </w:r>
      <w:r w:rsidRPr="00490ABA">
        <w:t xml:space="preserve"> jednak mediana była 14-krotnie niższa i wyniosła 4,4 tys. zł. </w:t>
      </w:r>
      <w:r w:rsidR="00103D54">
        <w:t xml:space="preserve">Obserwowaną </w:t>
      </w:r>
      <w:r w:rsidRPr="00490ABA">
        <w:t xml:space="preserve">skalę nierówności potwierdza również współczynnik koncentracji </w:t>
      </w:r>
      <w:proofErr w:type="spellStart"/>
      <w:r w:rsidRPr="00490ABA">
        <w:t>Giniego</w:t>
      </w:r>
      <w:proofErr w:type="spellEnd"/>
      <w:r w:rsidRPr="00490ABA">
        <w:t>, który w tym zakresie wyniósł aż 0,89, co oznacza, że dominująca część środków z omawianego źródła została pozyskana przez ba</w:t>
      </w:r>
      <w:r w:rsidR="0069120B">
        <w:t>rdzo niewielką liczbę podmiotów.</w:t>
      </w:r>
    </w:p>
    <w:p w14:paraId="1311EA5B" w14:textId="09DDB39E" w:rsidR="00490ABA" w:rsidRPr="00490ABA" w:rsidRDefault="00490ABA" w:rsidP="00490ABA">
      <w:r w:rsidRPr="00490ABA">
        <w:t xml:space="preserve">Podsumowując </w:t>
      </w:r>
      <w:r w:rsidR="00103D54">
        <w:t xml:space="preserve">zagadnienie </w:t>
      </w:r>
      <w:r w:rsidRPr="00490ABA">
        <w:t xml:space="preserve">zjawiska rozwarstwienia ekonomicznego i </w:t>
      </w:r>
      <w:proofErr w:type="spellStart"/>
      <w:r w:rsidRPr="00490ABA">
        <w:t>oligarchizacji</w:t>
      </w:r>
      <w:proofErr w:type="spellEnd"/>
      <w:r w:rsidRPr="00490ABA">
        <w:t xml:space="preserve"> wśród organizacji pozarządowych w Polsce </w:t>
      </w:r>
      <w:r w:rsidR="00103D54">
        <w:t>należy</w:t>
      </w:r>
      <w:r w:rsidRPr="00490ABA">
        <w:t xml:space="preserve"> podkreślić, że zjawisko to </w:t>
      </w:r>
      <w:r w:rsidR="00E41AE4" w:rsidRPr="00490ABA">
        <w:t xml:space="preserve">pogłębia się </w:t>
      </w:r>
      <w:r w:rsidRPr="00490ABA">
        <w:t>systematycznie co najmniej od 2005</w:t>
      </w:r>
      <w:r w:rsidR="0069120B" w:rsidRPr="0069120B">
        <w:t xml:space="preserve"> </w:t>
      </w:r>
      <w:r w:rsidR="0069120B" w:rsidRPr="00490ABA">
        <w:t>roku</w:t>
      </w:r>
      <w:r w:rsidRPr="00490ABA">
        <w:t xml:space="preserve">. Dane statystyczne wskazują na dysproporcje między wąską grupą największych </w:t>
      </w:r>
      <w:r w:rsidR="0069120B">
        <w:t>organizacji</w:t>
      </w:r>
      <w:r w:rsidR="00103D54">
        <w:t>,</w:t>
      </w:r>
      <w:r w:rsidRPr="00490ABA">
        <w:t xml:space="preserve"> a dużą liczbą małych podmiotów o niewielkiej aktywności. </w:t>
      </w:r>
      <w:r w:rsidR="00A129EC">
        <w:t xml:space="preserve">Zauważalny jest także brak grupy pośredniej, organizacji średniej wielkości, które powinny odgrywać rolę dominującą i prezentować znaczący potencjał. Ogranicza </w:t>
      </w:r>
      <w:r w:rsidR="00E54DFE">
        <w:br/>
      </w:r>
      <w:r w:rsidR="00A129EC">
        <w:lastRenderedPageBreak/>
        <w:t xml:space="preserve">to konkurencyjność w trzecim sektorze i jego zdolność do efektywnego działania. Zjawisko </w:t>
      </w:r>
      <w:r w:rsidR="00E54DFE">
        <w:br/>
      </w:r>
      <w:r w:rsidR="00A129EC">
        <w:t xml:space="preserve">to jest tym bardziej niepokojące, że występuje w sytuacji znaczącego wzrostu kwoty środków przekazywanych organizacjom obywatelskim, głównie ze źródeł publicznych. Oznacza </w:t>
      </w:r>
      <w:r w:rsidR="00E54DFE">
        <w:br/>
      </w:r>
      <w:r w:rsidR="00A129EC">
        <w:t>to bowiem, że beneficjentem wzrostu wydatkowania środków publicznych jest w głównej mierze wąski przedział sektora pozarządowego, a dla większości wzrost ten jest nieodczuwalny.</w:t>
      </w:r>
    </w:p>
    <w:p w14:paraId="240D1FAB" w14:textId="38956139" w:rsidR="00490ABA" w:rsidRPr="00490ABA" w:rsidRDefault="00A129EC" w:rsidP="00490ABA">
      <w:r>
        <w:t xml:space="preserve">Zjawisko </w:t>
      </w:r>
      <w:proofErr w:type="spellStart"/>
      <w:r w:rsidR="006A58A7">
        <w:t>oligarchizacji</w:t>
      </w:r>
      <w:proofErr w:type="spellEnd"/>
      <w:r w:rsidR="006A58A7">
        <w:t xml:space="preserve"> sektora obrazuje dodatkowo struktura koncentracji zasobów – w</w:t>
      </w:r>
      <w:r w:rsidR="00490ABA" w:rsidRPr="00490ABA">
        <w:t>edług danych GUS za 2012 r</w:t>
      </w:r>
      <w:r>
        <w:t>ok</w:t>
      </w:r>
      <w:r w:rsidR="00490ABA" w:rsidRPr="00490ABA">
        <w:t xml:space="preserve">. 10% największych w danej kategorii organizacji dysponowało 95% </w:t>
      </w:r>
      <w:r w:rsidR="000C3F5B">
        <w:t>zasobów ludzkich (</w:t>
      </w:r>
      <w:r w:rsidR="00490ABA" w:rsidRPr="00490ABA">
        <w:t>na podstawie stosunku pracy</w:t>
      </w:r>
      <w:r w:rsidR="000C3F5B">
        <w:t>)</w:t>
      </w:r>
      <w:r w:rsidR="00490ABA" w:rsidRPr="00490ABA">
        <w:t>, kumulowało 86% wszystkich przychodów, skupiało 79% członków i korzy</w:t>
      </w:r>
      <w:r w:rsidR="00133316">
        <w:t>stało z pracy 59% wolontariuszy.</w:t>
      </w:r>
    </w:p>
    <w:p w14:paraId="5CB2AF1A" w14:textId="33AEC344" w:rsidR="00133316" w:rsidRDefault="00133316" w:rsidP="00133316">
      <w:pPr>
        <w:pStyle w:val="Legenda"/>
        <w:keepNext/>
      </w:pPr>
      <w:bookmarkStart w:id="21" w:name="_Toc511125936"/>
      <w:r>
        <w:t xml:space="preserve">Wykres </w:t>
      </w:r>
      <w:r w:rsidR="00876468">
        <w:fldChar w:fldCharType="begin"/>
      </w:r>
      <w:r w:rsidR="00876468">
        <w:instrText xml:space="preserve"> SEQ Wykres \*</w:instrText>
      </w:r>
      <w:r w:rsidR="00876468">
        <w:instrText xml:space="preserve"> ARABIC </w:instrText>
      </w:r>
      <w:r w:rsidR="00876468">
        <w:fldChar w:fldCharType="separate"/>
      </w:r>
      <w:r w:rsidR="00E74C5A">
        <w:rPr>
          <w:noProof/>
        </w:rPr>
        <w:t>8</w:t>
      </w:r>
      <w:r w:rsidR="00876468">
        <w:rPr>
          <w:noProof/>
        </w:rPr>
        <w:fldChar w:fldCharType="end"/>
      </w:r>
      <w:r w:rsidR="00E54DFE">
        <w:rPr>
          <w:noProof/>
        </w:rPr>
        <w:t>.</w:t>
      </w:r>
      <w:r w:rsidRPr="00133316">
        <w:t xml:space="preserve"> </w:t>
      </w:r>
      <w:r w:rsidRPr="00490ABA">
        <w:t>Potencjał 10% największych organizacji w danej k</w:t>
      </w:r>
      <w:r>
        <w:t xml:space="preserve">ategorii w Polsce w roku 2012, źródło: Opracowanie NIK – </w:t>
      </w:r>
      <w:r w:rsidRPr="00490ABA">
        <w:t>raport z</w:t>
      </w:r>
      <w:r>
        <w:t> </w:t>
      </w:r>
      <w:r w:rsidRPr="00490ABA">
        <w:t>reali</w:t>
      </w:r>
      <w:r>
        <w:t>zacji PO FIO w latach 2012-2015</w:t>
      </w:r>
      <w:bookmarkEnd w:id="21"/>
    </w:p>
    <w:p w14:paraId="01A059E9" w14:textId="4AC3F775" w:rsidR="005D49FD" w:rsidRPr="005D49FD" w:rsidRDefault="005D49FD" w:rsidP="005D49FD">
      <w:r>
        <w:rPr>
          <w:noProof/>
          <w:lang w:eastAsia="pl-PL"/>
        </w:rPr>
        <w:drawing>
          <wp:inline distT="0" distB="0" distL="0" distR="0" wp14:anchorId="5AF92330" wp14:editId="040DD14E">
            <wp:extent cx="5759450" cy="3001108"/>
            <wp:effectExtent l="0" t="0" r="12700" b="8890"/>
            <wp:docPr id="28" name="Wykres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74BE779" w14:textId="1ECDDC1B" w:rsidR="00E41AE4" w:rsidRDefault="00E41AE4" w:rsidP="00E41AE4">
      <w:pPr>
        <w:spacing w:before="240"/>
      </w:pPr>
      <w:r w:rsidRPr="00490ABA">
        <w:t xml:space="preserve">Wartym odnotowania jest przy tej okazji fakt, że od roku 2005 strona rządowa podjęła programową próbę wspierania działalności organizacji pozarządowych w sferze zadań publicznych w </w:t>
      </w:r>
      <w:r w:rsidR="00A129EC">
        <w:t>formie</w:t>
      </w:r>
      <w:r w:rsidRPr="00490ABA">
        <w:t xml:space="preserve"> Programu Operacyjnego Fundusz Inicjatyw Obywatelskich</w:t>
      </w:r>
      <w:r w:rsidR="00A129EC">
        <w:t xml:space="preserve"> (PO FIO)</w:t>
      </w:r>
      <w:r w:rsidRPr="00490ABA">
        <w:t>. Zgodnie z raportem N</w:t>
      </w:r>
      <w:r>
        <w:t xml:space="preserve">ajwyższej </w:t>
      </w:r>
      <w:r w:rsidRPr="00490ABA">
        <w:t>I</w:t>
      </w:r>
      <w:r>
        <w:t xml:space="preserve">zby </w:t>
      </w:r>
      <w:r w:rsidRPr="00490ABA">
        <w:t>K</w:t>
      </w:r>
      <w:r>
        <w:t>ontroli</w:t>
      </w:r>
      <w:r w:rsidRPr="00490ABA">
        <w:t xml:space="preserve"> </w:t>
      </w:r>
      <w:r w:rsidR="00B75499">
        <w:t>„</w:t>
      </w:r>
      <w:r w:rsidR="00B75499" w:rsidRPr="00705484">
        <w:t>Realizacja Programu Fundusz Inicjatyw Obywatelskich</w:t>
      </w:r>
      <w:r w:rsidR="00B75499">
        <w:t xml:space="preserve"> w l</w:t>
      </w:r>
      <w:r w:rsidR="00B75499" w:rsidRPr="00705484">
        <w:t>atach 2012–2015</w:t>
      </w:r>
      <w:r w:rsidR="00B75499">
        <w:t xml:space="preserve"> – </w:t>
      </w:r>
      <w:r w:rsidR="00B75499" w:rsidRPr="00705484">
        <w:t>Informacja o wynikach kontroli</w:t>
      </w:r>
      <w:r w:rsidR="00B75499">
        <w:t>”</w:t>
      </w:r>
      <w:r w:rsidR="00B75499" w:rsidRPr="00490ABA">
        <w:t xml:space="preserve"> </w:t>
      </w:r>
      <w:r w:rsidRPr="00490ABA">
        <w:t xml:space="preserve">programy FIO miały szansę </w:t>
      </w:r>
      <w:r w:rsidR="00A129EC">
        <w:t xml:space="preserve">odgrywać </w:t>
      </w:r>
      <w:r w:rsidRPr="00490ABA">
        <w:t xml:space="preserve">istotną rolę w zakresie wdrażania rozwiązań pilotażowych i </w:t>
      </w:r>
      <w:r w:rsidR="00A129EC">
        <w:t>gromadzenia</w:t>
      </w:r>
      <w:r w:rsidRPr="00490ABA">
        <w:t xml:space="preserve"> doświadczeń w </w:t>
      </w:r>
      <w:r w:rsidR="00A129EC">
        <w:t xml:space="preserve">zakresie </w:t>
      </w:r>
      <w:r w:rsidRPr="00490ABA">
        <w:t xml:space="preserve">najlepszych </w:t>
      </w:r>
      <w:r w:rsidR="00A129EC">
        <w:t xml:space="preserve">praktyk </w:t>
      </w:r>
      <w:r w:rsidR="00133316">
        <w:t>zlecania zadań publicznych oraz</w:t>
      </w:r>
      <w:r w:rsidRPr="00490ABA">
        <w:t xml:space="preserve"> realizowania polityki państwa przy udziale organizacji pozarządowych. </w:t>
      </w:r>
      <w:r>
        <w:t xml:space="preserve">W kontekście potencjału sektora </w:t>
      </w:r>
      <w:r>
        <w:lastRenderedPageBreak/>
        <w:t xml:space="preserve">pozarządowego należy postawić pytanie, czy realizacja programów FIO wpłynęło </w:t>
      </w:r>
      <w:r w:rsidR="00E54DFE">
        <w:br/>
      </w:r>
      <w:r>
        <w:t>na wzmocnienie organizacji i poszerzanie grupy organizacji zdolnych do skutecznego realizowania zadań publicznych. Zarówno ustalenia NIK, jak również wyniki badania ewaluacy</w:t>
      </w:r>
      <w:r w:rsidR="00133316">
        <w:t>jnego „Ocena wpływu PO FIO 2009–</w:t>
      </w:r>
      <w:r>
        <w:t xml:space="preserve">2013 na funkcjonowanie organizacji pozarządowych” wskazują, że główne korzyści, które osiągają organizacje uczestniczące </w:t>
      </w:r>
      <w:r w:rsidR="00E54DFE">
        <w:br/>
      </w:r>
      <w:r>
        <w:t>w programach FIO</w:t>
      </w:r>
      <w:r w:rsidR="00133316">
        <w:t>,</w:t>
      </w:r>
      <w:r>
        <w:t xml:space="preserve"> to </w:t>
      </w:r>
      <w:r w:rsidR="00A129EC">
        <w:t xml:space="preserve">budowa kapitału w postaci </w:t>
      </w:r>
      <w:r>
        <w:t>wiedzy</w:t>
      </w:r>
      <w:r w:rsidRPr="00A71577">
        <w:t xml:space="preserve"> z </w:t>
      </w:r>
      <w:r>
        <w:t xml:space="preserve">zakresu przygotowywania wniosków </w:t>
      </w:r>
      <w:r w:rsidRPr="00A71577">
        <w:t>o dofinansowanie</w:t>
      </w:r>
      <w:r>
        <w:t xml:space="preserve">, zdobycie doświadczenia w ubieganiu się o środki zewnętrzne. Natomiast </w:t>
      </w:r>
      <w:r w:rsidR="00E54DFE">
        <w:br/>
      </w:r>
      <w:r>
        <w:t xml:space="preserve">w znacznie mniejszym stopniu organizacje budowały swój potencjał w </w:t>
      </w:r>
      <w:r w:rsidR="00A129EC">
        <w:t xml:space="preserve">obszarze </w:t>
      </w:r>
      <w:r>
        <w:t xml:space="preserve">zasobów ludzkich czy technicznych. Można zatem stwierdzić, że organizacje realizujące zadania publiczne w ramach programów FIO nabywały umiejętności sprawnego poruszenia się </w:t>
      </w:r>
      <w:r w:rsidR="00E54DFE">
        <w:br/>
      </w:r>
      <w:r>
        <w:t>w procedurach „</w:t>
      </w:r>
      <w:proofErr w:type="spellStart"/>
      <w:r>
        <w:t>wewnątrzprogramowych</w:t>
      </w:r>
      <w:proofErr w:type="spellEnd"/>
      <w:r>
        <w:t xml:space="preserve">”, nie uzyskując przy tym wartości dodanej w postaci budowania trwałego potencjału w obszarze skuteczności realizowanych działań misyjnych </w:t>
      </w:r>
      <w:r w:rsidR="00E54DFE">
        <w:br/>
      </w:r>
      <w:r>
        <w:t>i szeroko pojętego rozwoju instytucjonalnego. Dodatkowo w ramach FIO dotowane są doraźne</w:t>
      </w:r>
      <w:r w:rsidRPr="00490ABA">
        <w:t xml:space="preserve"> inicjatyw</w:t>
      </w:r>
      <w:r>
        <w:t>y zgłaszane</w:t>
      </w:r>
      <w:r w:rsidRPr="00490ABA">
        <w:t xml:space="preserve"> przez nieformalne grupy osób za p</w:t>
      </w:r>
      <w:r>
        <w:t>ośrednictwem dużych organizacji (</w:t>
      </w:r>
      <w:proofErr w:type="spellStart"/>
      <w:r>
        <w:t>regranting</w:t>
      </w:r>
      <w:proofErr w:type="spellEnd"/>
      <w:r>
        <w:t xml:space="preserve">) – co wpływa na dalsze wzmacnianie większych podmiotów i może oddziaływać </w:t>
      </w:r>
      <w:r w:rsidR="00E54DFE">
        <w:br/>
      </w:r>
      <w:r>
        <w:t xml:space="preserve">w formie pogłębiania się rozwarstwienia i dysproporcji w sektorze. </w:t>
      </w:r>
      <w:r w:rsidRPr="00490ABA">
        <w:t>Zdaniem NIK rozwiązanie takie nie jest właściwe</w:t>
      </w:r>
      <w:r w:rsidR="00CF7855">
        <w:t xml:space="preserve"> także z uwagi na </w:t>
      </w:r>
      <w:r w:rsidRPr="00490ABA">
        <w:t>obowiązujące regu</w:t>
      </w:r>
      <w:r w:rsidR="00CF7855">
        <w:t xml:space="preserve">lacje ustawowe, które </w:t>
      </w:r>
      <w:r w:rsidRPr="00490ABA">
        <w:t>zakładają dotowanie efektywnej działalności w sferze zadań publicznych, a nie finansowanie przejawów aktywności społeczn</w:t>
      </w:r>
      <w:r w:rsidR="00CF7855">
        <w:t>ej jako autonomicznej wartości.</w:t>
      </w:r>
    </w:p>
    <w:p w14:paraId="4757C821" w14:textId="77777777" w:rsidR="00490ABA" w:rsidRPr="00617685" w:rsidRDefault="00490ABA" w:rsidP="00617685">
      <w:pPr>
        <w:rPr>
          <w:rStyle w:val="Wyrnienieintensywne"/>
        </w:rPr>
      </w:pPr>
      <w:r w:rsidRPr="00617685">
        <w:rPr>
          <w:rStyle w:val="Wyrnienieintensywne"/>
        </w:rPr>
        <w:t>Uzależnienie organizacji od środków publicznych – małe</w:t>
      </w:r>
      <w:r w:rsidR="00617685">
        <w:rPr>
          <w:rStyle w:val="Wyrnienieintensywne"/>
        </w:rPr>
        <w:t xml:space="preserve"> zróżnicowanie źródeł przychodu</w:t>
      </w:r>
    </w:p>
    <w:p w14:paraId="0DA56CA3" w14:textId="6E7B3BA4" w:rsidR="00133316" w:rsidRDefault="00490ABA" w:rsidP="00490ABA">
      <w:r w:rsidRPr="00490ABA">
        <w:t>Odrębnym zjawiskiem charakteryzującym kondycję i problemy w zakresie finansowania sektora organizacji pozarządowych jest silne uzależnienie budżetów organizacji od dostępu do środków publicznych z równoczesnym poddaniem się dynamice funkcjonowania od grantu do grantu</w:t>
      </w:r>
      <w:r w:rsidR="00A129EC">
        <w:t xml:space="preserve"> (tzw.</w:t>
      </w:r>
      <w:r w:rsidRPr="00490ABA">
        <w:t xml:space="preserve"> </w:t>
      </w:r>
      <w:proofErr w:type="spellStart"/>
      <w:r w:rsidR="00A129EC">
        <w:t>grantoza</w:t>
      </w:r>
      <w:proofErr w:type="spellEnd"/>
      <w:r w:rsidR="00A129EC">
        <w:t>)</w:t>
      </w:r>
      <w:r w:rsidRPr="00490ABA">
        <w:t xml:space="preserve">. Środki przekazywane przez instytucje administracji publicznej (rządowej, samorządowej, międzynarodowej) stanowiły w 2014 </w:t>
      </w:r>
      <w:r w:rsidR="00133316" w:rsidRPr="00490ABA">
        <w:t xml:space="preserve">roku </w:t>
      </w:r>
      <w:r w:rsidRPr="00490ABA">
        <w:t xml:space="preserve">wciąż największą kategorię przychodów i wynosiły 46% </w:t>
      </w:r>
      <w:r w:rsidR="00A129EC">
        <w:t xml:space="preserve">ich </w:t>
      </w:r>
      <w:r w:rsidRPr="00490ABA">
        <w:t>c</w:t>
      </w:r>
      <w:r w:rsidR="00133316">
        <w:t>ałkowitej wartości. Porównując</w:t>
      </w:r>
      <w:r w:rsidRPr="00490ABA">
        <w:t xml:space="preserve"> wkład przychodów uzyskanych ze źródeł rynkowych stanowił 38% wszystkich zgromadzonych środków finansowych, w tym środki pochodzące z działalności gospodarczej (17%), z odpłatnej działalności statutowej (16%), ze składek członkowskich tylko 8% uzyskanych przychodów. Ze </w:t>
      </w:r>
      <w:r w:rsidRPr="00490ABA">
        <w:lastRenderedPageBreak/>
        <w:t xml:space="preserve">środków publicznych korzysta ponad 75% stowarzyszeń i fundacji. Skalę tego zjawiska uzależnienia od środków publicznych </w:t>
      </w:r>
      <w:r w:rsidR="00A129EC">
        <w:t>potęguje</w:t>
      </w:r>
      <w:r w:rsidRPr="00490ABA">
        <w:t xml:space="preserve"> fakt, że od 2010 </w:t>
      </w:r>
      <w:r w:rsidR="00133316" w:rsidRPr="00490ABA">
        <w:t xml:space="preserve">roku </w:t>
      </w:r>
      <w:r w:rsidR="00A129EC" w:rsidRPr="00490ABA">
        <w:t xml:space="preserve">można </w:t>
      </w:r>
      <w:r w:rsidRPr="00490ABA">
        <w:t xml:space="preserve">zaobserwować stały wzrost odsetka środków ze źródeł publicznych w strukturze przychodów organizacji pozarządowych. Według badań GUS jest </w:t>
      </w:r>
      <w:r w:rsidR="00B9121C">
        <w:br/>
      </w:r>
      <w:r w:rsidRPr="00490ABA">
        <w:t xml:space="preserve">to wzrost z 41% w 2010 </w:t>
      </w:r>
      <w:r w:rsidR="00133316" w:rsidRPr="00490ABA">
        <w:t xml:space="preserve">roku </w:t>
      </w:r>
      <w:r w:rsidRPr="00490ABA">
        <w:t>do 46% w 2014</w:t>
      </w:r>
      <w:r w:rsidR="00133316" w:rsidRPr="00490ABA">
        <w:t xml:space="preserve"> roku</w:t>
      </w:r>
      <w:r w:rsidRPr="00490ABA">
        <w:t>.</w:t>
      </w:r>
    </w:p>
    <w:p w14:paraId="11AC6659" w14:textId="77777777" w:rsidR="00133316" w:rsidRDefault="00133316">
      <w:pPr>
        <w:spacing w:after="160" w:line="259" w:lineRule="auto"/>
        <w:jc w:val="left"/>
      </w:pPr>
      <w:r>
        <w:br w:type="page"/>
      </w:r>
    </w:p>
    <w:p w14:paraId="46A8A56F" w14:textId="1BA285AF" w:rsidR="00133316" w:rsidRDefault="00133316" w:rsidP="00133316">
      <w:pPr>
        <w:pStyle w:val="Legenda"/>
        <w:keepNext/>
      </w:pPr>
      <w:bookmarkStart w:id="22" w:name="_Toc511125937"/>
      <w:r>
        <w:lastRenderedPageBreak/>
        <w:t xml:space="preserve">Wykres </w:t>
      </w:r>
      <w:r w:rsidR="00876468">
        <w:fldChar w:fldCharType="begin"/>
      </w:r>
      <w:r w:rsidR="00876468">
        <w:instrText xml:space="preserve"> SEQ Wykres \* ARABIC </w:instrText>
      </w:r>
      <w:r w:rsidR="00876468">
        <w:fldChar w:fldCharType="separate"/>
      </w:r>
      <w:r w:rsidR="00E74C5A">
        <w:rPr>
          <w:noProof/>
        </w:rPr>
        <w:t>9</w:t>
      </w:r>
      <w:r w:rsidR="00876468">
        <w:rPr>
          <w:noProof/>
        </w:rPr>
        <w:fldChar w:fldCharType="end"/>
      </w:r>
      <w:r w:rsidR="00B9121C">
        <w:rPr>
          <w:noProof/>
        </w:rPr>
        <w:t>.</w:t>
      </w:r>
      <w:r w:rsidRPr="00133316">
        <w:t xml:space="preserve"> </w:t>
      </w:r>
      <w:r w:rsidRPr="00490ABA">
        <w:t>Struktura przychodów organizacji pozarządowych według źródeł przychod</w:t>
      </w:r>
      <w:r>
        <w:t>ów w latach 2010, 2012 i 2014, ź</w:t>
      </w:r>
      <w:r w:rsidRPr="00490ABA">
        <w:t>ródło:</w:t>
      </w:r>
      <w:r>
        <w:t> </w:t>
      </w:r>
      <w:r w:rsidRPr="00490ABA">
        <w:t>Sektor non-profit w 2014 r., GUS 2016</w:t>
      </w:r>
      <w:bookmarkEnd w:id="22"/>
    </w:p>
    <w:p w14:paraId="03932F56" w14:textId="423EB682" w:rsidR="005D49FD" w:rsidRPr="005D49FD" w:rsidRDefault="005D49FD" w:rsidP="005D49FD">
      <w:r>
        <w:rPr>
          <w:noProof/>
          <w:lang w:eastAsia="pl-PL"/>
        </w:rPr>
        <w:drawing>
          <wp:inline distT="0" distB="0" distL="0" distR="0" wp14:anchorId="7AEC7ADB" wp14:editId="5794335E">
            <wp:extent cx="5759450" cy="3813908"/>
            <wp:effectExtent l="0" t="0" r="0" b="0"/>
            <wp:docPr id="29" name="Wykres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E31675B" w14:textId="22D3FF5B" w:rsidR="005D49FD" w:rsidRDefault="00490ABA" w:rsidP="00490ABA">
      <w:pPr>
        <w:rPr>
          <w:iCs/>
        </w:rPr>
      </w:pPr>
      <w:r w:rsidRPr="00490ABA">
        <w:rPr>
          <w:iCs/>
        </w:rPr>
        <w:t xml:space="preserve">Badania przeprowadzane przez </w:t>
      </w:r>
      <w:r w:rsidR="00A129EC">
        <w:rPr>
          <w:iCs/>
        </w:rPr>
        <w:t xml:space="preserve">Stowarzyszenie </w:t>
      </w:r>
      <w:r w:rsidRPr="00490ABA">
        <w:rPr>
          <w:iCs/>
        </w:rPr>
        <w:t xml:space="preserve">KLON/JAWOR jeszcze </w:t>
      </w:r>
      <w:r w:rsidR="00A129EC">
        <w:rPr>
          <w:iCs/>
        </w:rPr>
        <w:t xml:space="preserve">wyraźniej ukazują </w:t>
      </w:r>
      <w:r w:rsidRPr="00490ABA">
        <w:rPr>
          <w:iCs/>
        </w:rPr>
        <w:t xml:space="preserve">pogłębianie się zjawiska </w:t>
      </w:r>
      <w:proofErr w:type="spellStart"/>
      <w:r w:rsidRPr="00490ABA">
        <w:rPr>
          <w:iCs/>
        </w:rPr>
        <w:t>grantozy</w:t>
      </w:r>
      <w:proofErr w:type="spellEnd"/>
      <w:r w:rsidRPr="00490ABA">
        <w:rPr>
          <w:iCs/>
        </w:rPr>
        <w:t xml:space="preserve"> </w:t>
      </w:r>
      <w:r w:rsidR="00133316">
        <w:rPr>
          <w:iCs/>
        </w:rPr>
        <w:t>wskazując</w:t>
      </w:r>
      <w:r w:rsidRPr="00490ABA">
        <w:rPr>
          <w:iCs/>
        </w:rPr>
        <w:t>, że krajowe i zagraniczne środki publiczne stanowiły w 2014</w:t>
      </w:r>
      <w:r w:rsidR="00617685">
        <w:rPr>
          <w:iCs/>
        </w:rPr>
        <w:t xml:space="preserve"> roku </w:t>
      </w:r>
      <w:r w:rsidRPr="00490ABA">
        <w:rPr>
          <w:iCs/>
        </w:rPr>
        <w:t xml:space="preserve">55% sumy przychodów sektora, podczas gdy np. w 2003 </w:t>
      </w:r>
      <w:r w:rsidR="00133316" w:rsidRPr="00490ABA">
        <w:rPr>
          <w:iCs/>
        </w:rPr>
        <w:t xml:space="preserve">roku </w:t>
      </w:r>
      <w:r w:rsidR="005D49FD">
        <w:rPr>
          <w:iCs/>
        </w:rPr>
        <w:t xml:space="preserve">było to 34%, a w 2005 </w:t>
      </w:r>
      <w:r w:rsidR="00A129EC">
        <w:rPr>
          <w:iCs/>
        </w:rPr>
        <w:t xml:space="preserve">roku – </w:t>
      </w:r>
      <w:r w:rsidR="005D49FD">
        <w:rPr>
          <w:iCs/>
        </w:rPr>
        <w:t>42%.</w:t>
      </w:r>
    </w:p>
    <w:p w14:paraId="1C35491E" w14:textId="129B0D81" w:rsidR="00133316" w:rsidRDefault="00133316" w:rsidP="00133316">
      <w:pPr>
        <w:pStyle w:val="Legenda"/>
        <w:keepNext/>
      </w:pPr>
      <w:bookmarkStart w:id="23" w:name="_Toc511125938"/>
      <w:r>
        <w:t xml:space="preserve">Wykres </w:t>
      </w:r>
      <w:r w:rsidR="00876468">
        <w:fldChar w:fldCharType="begin"/>
      </w:r>
      <w:r w:rsidR="00876468">
        <w:instrText xml:space="preserve"> SEQ Wykres \* ARABIC </w:instrText>
      </w:r>
      <w:r w:rsidR="00876468">
        <w:fldChar w:fldCharType="separate"/>
      </w:r>
      <w:r w:rsidR="00E74C5A">
        <w:rPr>
          <w:noProof/>
        </w:rPr>
        <w:t>10</w:t>
      </w:r>
      <w:r w:rsidR="00876468">
        <w:rPr>
          <w:noProof/>
        </w:rPr>
        <w:fldChar w:fldCharType="end"/>
      </w:r>
      <w:r w:rsidR="00B9121C">
        <w:rPr>
          <w:noProof/>
        </w:rPr>
        <w:t>.</w:t>
      </w:r>
      <w:r w:rsidRPr="00133316">
        <w:t xml:space="preserve"> </w:t>
      </w:r>
      <w:r w:rsidRPr="00490ABA">
        <w:t xml:space="preserve">Źródła finansowania organizacji 2003-2014, </w:t>
      </w:r>
      <w:r>
        <w:t>ź</w:t>
      </w:r>
      <w:r w:rsidRPr="00490ABA">
        <w:t>ródło: Kondycja sektora organizacji pozarządowych w Polsce 2015. Raport z badań, KLON/JAWOR 2016</w:t>
      </w:r>
      <w:bookmarkEnd w:id="23"/>
    </w:p>
    <w:p w14:paraId="16F11F48" w14:textId="79F63CB0" w:rsidR="005D49FD" w:rsidRPr="005D49FD" w:rsidRDefault="005D49FD" w:rsidP="005D49FD">
      <w:r>
        <w:rPr>
          <w:noProof/>
          <w:lang w:eastAsia="pl-PL"/>
        </w:rPr>
        <w:drawing>
          <wp:inline distT="0" distB="0" distL="0" distR="0" wp14:anchorId="76832C83" wp14:editId="0CB2C0CC">
            <wp:extent cx="5759450" cy="2915138"/>
            <wp:effectExtent l="0" t="0" r="0" b="0"/>
            <wp:docPr id="30" name="Wykres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F60412E" w14:textId="1504294A" w:rsidR="00490ABA" w:rsidRPr="00490ABA" w:rsidRDefault="00490ABA" w:rsidP="00490ABA">
      <w:proofErr w:type="spellStart"/>
      <w:r w:rsidRPr="00490ABA">
        <w:lastRenderedPageBreak/>
        <w:t>Grantozie</w:t>
      </w:r>
      <w:proofErr w:type="spellEnd"/>
      <w:r w:rsidRPr="00490ABA">
        <w:t xml:space="preserve"> i szybkiemu tempu uzależnienia sektora obywatelskiego od finansów publicznych towarzyszy regres statutowej działalności odpłatnej i gospodarczej wraz ze słabą dywersyfikacją źródeł przychodów. Są to wyzwania wymagające zdecydowanego przeciwdziałania </w:t>
      </w:r>
      <w:r w:rsidR="006C453A">
        <w:t>tak, a</w:t>
      </w:r>
      <w:r w:rsidRPr="00490ABA">
        <w:t xml:space="preserve">by organizacje pozarządowe mogły tworzyć żywą, twórczą i niezależną tkankę społeczeństwa obywatelskiego. W przeciwnym razie organizacje obywatelskie przestaną być suwerennymi partnerami dla organów państwa, a staną się jedynie jego przedłużeniem i usługodawcami rywalizującymi o zlecenia państwowe, uzależniając się od dopływu środków publicznych. Już dziś organizacje </w:t>
      </w:r>
      <w:r w:rsidR="003A6118">
        <w:t>wskazują</w:t>
      </w:r>
      <w:r w:rsidRPr="00490ABA">
        <w:t xml:space="preserve">, że ich rola ogranicza się często do bycia tanim usługodawcą </w:t>
      </w:r>
      <w:r w:rsidR="00C1545F">
        <w:br/>
      </w:r>
      <w:r w:rsidRPr="00490ABA">
        <w:t xml:space="preserve">w realizowaniu zadań publicznych, nie </w:t>
      </w:r>
      <w:r w:rsidR="003A6118">
        <w:t>ma natomiast charakteru realnej</w:t>
      </w:r>
      <w:r w:rsidRPr="00490ABA">
        <w:t xml:space="preserve"> i partnersk</w:t>
      </w:r>
      <w:r w:rsidR="003A6118">
        <w:t>iej współpracy</w:t>
      </w:r>
      <w:r w:rsidRPr="00490ABA">
        <w:t xml:space="preserve"> przy tworzeniu oraz realizacji lokalnych polityk publicznych. </w:t>
      </w:r>
      <w:r w:rsidR="00133316">
        <w:t>Organy administracji</w:t>
      </w:r>
      <w:r w:rsidRPr="00490ABA">
        <w:t xml:space="preserve"> p</w:t>
      </w:r>
      <w:r w:rsidR="00133316">
        <w:t>ublicznej</w:t>
      </w:r>
      <w:r w:rsidRPr="00490ABA">
        <w:t xml:space="preserve"> w zlecaniu zadań nadużywa</w:t>
      </w:r>
      <w:r w:rsidR="00133316">
        <w:t>ją</w:t>
      </w:r>
      <w:r w:rsidRPr="00490ABA">
        <w:t xml:space="preserve"> </w:t>
      </w:r>
      <w:r w:rsidR="00133316">
        <w:t xml:space="preserve">jednocześnie </w:t>
      </w:r>
      <w:r w:rsidRPr="00490ABA">
        <w:t>ustawowego trybu wspierania, ograniczając do minimum tryb powierzania zadań publicznych. W trybie powierzania zleceniodawca pokrywa całkowite koszty realizacji zadania</w:t>
      </w:r>
      <w:r w:rsidR="00133316">
        <w:t>,</w:t>
      </w:r>
      <w:r w:rsidRPr="00490ABA">
        <w:t xml:space="preserve"> zachowując pełną kontrolę nad sposobem jego wykonania. W trybie wspierania jest mowa o dofinansowaniu działań organizacji, co oznacza, że musi mieć ona własne zasoby na współfinansowanie tych zadań. Teoretycznie </w:t>
      </w:r>
      <w:r w:rsidR="00133316">
        <w:t>organizacje dysponują dużą swobodą</w:t>
      </w:r>
      <w:r w:rsidRPr="00490ABA">
        <w:t xml:space="preserve"> w zakresie </w:t>
      </w:r>
      <w:r w:rsidR="00133316">
        <w:t xml:space="preserve">wyboru </w:t>
      </w:r>
      <w:r w:rsidRPr="00490ABA">
        <w:t xml:space="preserve">sposobu realizacji </w:t>
      </w:r>
      <w:r w:rsidR="00133316">
        <w:t xml:space="preserve">poszczególnych </w:t>
      </w:r>
      <w:r w:rsidRPr="00490ABA">
        <w:t xml:space="preserve">zadań, ale praktyka </w:t>
      </w:r>
      <w:r w:rsidR="005D2516">
        <w:t>pokazuje jednak</w:t>
      </w:r>
      <w:r w:rsidRPr="00490ABA">
        <w:t xml:space="preserve">, że podmioty zlecające (głównie samorządy) wymagają od organizacji wkładu własnego, pozostawiając sobie </w:t>
      </w:r>
      <w:r w:rsidR="00133316">
        <w:t xml:space="preserve">równocześnie </w:t>
      </w:r>
      <w:r w:rsidRPr="00490ABA">
        <w:t xml:space="preserve">pełną kontrolę nad jej działaniami. Powoduje to sytuację, w której organizacje są de facto zmuszane współfinansować realizację zadań publicznych (dofinansowywać realizację zadań własnych samorządów), co jest odwróconą zasadą pomocniczości i swoistą patologią. Powszechne stosowanie trybu wspierania i wymóg współfinansowania przez organizacje sprawiają, że wiele </w:t>
      </w:r>
      <w:r w:rsidR="005D2516">
        <w:t xml:space="preserve">spośród nich </w:t>
      </w:r>
      <w:r w:rsidRPr="00490ABA">
        <w:t xml:space="preserve">nie jest w stanie stawać do </w:t>
      </w:r>
      <w:r w:rsidR="00C1545F">
        <w:t xml:space="preserve">innych </w:t>
      </w:r>
      <w:r w:rsidRPr="00490ABA">
        <w:t xml:space="preserve">konkursów </w:t>
      </w:r>
      <w:r w:rsidR="00C1545F">
        <w:t xml:space="preserve">grantowych </w:t>
      </w:r>
      <w:r w:rsidR="00B9121C">
        <w:br/>
      </w:r>
      <w:r w:rsidRPr="00490ABA">
        <w:t xml:space="preserve">(np. z funduszy unijnych), gdzie wymagany jest wkład własny. Konieczne </w:t>
      </w:r>
      <w:r w:rsidR="00C1545F">
        <w:t xml:space="preserve">są więc zmiany na rzecz budowy </w:t>
      </w:r>
      <w:r w:rsidRPr="00490ABA">
        <w:t xml:space="preserve">równowagi w skali stosowania trybu wspierania i trybu powierzania zadań przez administrację publiczną. </w:t>
      </w:r>
    </w:p>
    <w:p w14:paraId="6AB15029" w14:textId="2A1524CF" w:rsidR="00490ABA" w:rsidRPr="00490ABA" w:rsidRDefault="00490ABA" w:rsidP="00490ABA">
      <w:r w:rsidRPr="00490ABA">
        <w:t xml:space="preserve">Problemy w zdobywaniu środków przekładają się w dużej mierze na ciągłe borykanie się organizacji z zapewnieniem koniecznej bazy lokalowo-sprzętowej oraz potencjału instytucjonalno-administracyjnego do obsługi prowadzonej działalności. W następstwie braku środków 29% organizacji zmaga się z problemem uzyskania dostępu do odpowiedniego dla ich </w:t>
      </w:r>
      <w:r w:rsidRPr="00490ABA">
        <w:lastRenderedPageBreak/>
        <w:t xml:space="preserve">działalności lokalu. Jedynie 9% stowarzyszeń i 5% fundacji posiada lokal na własność, a około 20% z nich ma do dyspozycji samochód. </w:t>
      </w:r>
      <w:r w:rsidR="00354AEC">
        <w:t xml:space="preserve">Tylko nieco ponad jedna trzecia organizacja posiada </w:t>
      </w:r>
      <w:r w:rsidR="00354AEC">
        <w:br/>
        <w:t>na własność sprzęt komputerowy.</w:t>
      </w:r>
    </w:p>
    <w:p w14:paraId="2DBA5DD6" w14:textId="4B34DB8A" w:rsidR="00354AEC" w:rsidRDefault="00354AEC" w:rsidP="00354AEC">
      <w:pPr>
        <w:pStyle w:val="Legenda"/>
        <w:keepNext/>
      </w:pPr>
      <w:bookmarkStart w:id="24" w:name="_Toc511125939"/>
      <w:r>
        <w:t xml:space="preserve">Wykres </w:t>
      </w:r>
      <w:r w:rsidR="00876468">
        <w:fldChar w:fldCharType="begin"/>
      </w:r>
      <w:r w:rsidR="00876468">
        <w:instrText xml:space="preserve"> SEQ Wykres \* ARABIC </w:instrText>
      </w:r>
      <w:r w:rsidR="00876468">
        <w:fldChar w:fldCharType="separate"/>
      </w:r>
      <w:r w:rsidR="00E74C5A">
        <w:rPr>
          <w:noProof/>
        </w:rPr>
        <w:t>11</w:t>
      </w:r>
      <w:r w:rsidR="00876468">
        <w:rPr>
          <w:noProof/>
        </w:rPr>
        <w:fldChar w:fldCharType="end"/>
      </w:r>
      <w:r w:rsidR="00B9121C">
        <w:rPr>
          <w:noProof/>
        </w:rPr>
        <w:t>.</w:t>
      </w:r>
      <w:r w:rsidRPr="00354AEC">
        <w:t xml:space="preserve"> </w:t>
      </w:r>
      <w:r w:rsidRPr="00490ABA">
        <w:t>Dysponowanie lokalem, samochodem i komputere</w:t>
      </w:r>
      <w:r>
        <w:t>m przez organizacje w 2014 r., źródło: Sektor non-profit w 2014 </w:t>
      </w:r>
      <w:r w:rsidRPr="00490ABA">
        <w:t>r., GUS 2016</w:t>
      </w:r>
      <w:bookmarkEnd w:id="24"/>
    </w:p>
    <w:p w14:paraId="2110A834" w14:textId="55D7255A" w:rsidR="00490ABA" w:rsidRPr="00490ABA" w:rsidRDefault="00CD56FD" w:rsidP="00CD56FD">
      <w:r>
        <w:rPr>
          <w:noProof/>
          <w:lang w:eastAsia="pl-PL"/>
        </w:rPr>
        <w:drawing>
          <wp:inline distT="0" distB="0" distL="0" distR="0" wp14:anchorId="4528700D" wp14:editId="39C51D7E">
            <wp:extent cx="5759450" cy="3952875"/>
            <wp:effectExtent l="0" t="0" r="0" b="0"/>
            <wp:docPr id="13"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795E7BA" w14:textId="57A13AC7" w:rsidR="00490ABA" w:rsidRPr="00490ABA" w:rsidRDefault="00490ABA" w:rsidP="00490ABA">
      <w:r w:rsidRPr="00490ABA">
        <w:t>43% organizacji nie dysponuje żadnym majątkiem</w:t>
      </w:r>
      <w:r w:rsidR="00962E30">
        <w:t xml:space="preserve">. Zaledwie </w:t>
      </w:r>
      <w:r w:rsidRPr="00490ABA">
        <w:t xml:space="preserve">30% spośród organizacji prowadzących działalność gospodarczą osiąga z tego tytułu znaczący zysk przekraczający 10%. Mały potencjał finansowy i </w:t>
      </w:r>
      <w:r w:rsidR="00962E30">
        <w:t xml:space="preserve">niewielkie </w:t>
      </w:r>
      <w:r w:rsidRPr="00490ABA">
        <w:t>możliwości instytucjonalne (brak profesjonalnej kadry, za</w:t>
      </w:r>
      <w:r w:rsidR="00962E30">
        <w:t xml:space="preserve">sobów, </w:t>
      </w:r>
      <w:r w:rsidRPr="00490ABA">
        <w:t xml:space="preserve">narzędzi i umiejętności) to zasadnicze bariery uniemożliwiające podjęcie działalności gospodarczej, co </w:t>
      </w:r>
      <w:r w:rsidR="00C1545F">
        <w:t xml:space="preserve">ujawnia się w ścisłej zależności pomiędzy wielkością organizacji </w:t>
      </w:r>
      <w:r w:rsidR="00354AEC">
        <w:br/>
      </w:r>
      <w:r w:rsidR="00C1545F">
        <w:t>a częstotliwością podejmowania działalności gospodarczej (</w:t>
      </w:r>
      <w:r w:rsidRPr="00490ABA">
        <w:t>im większe i bogatsze organizacje, tym częściej i efektywniej podejmują dochodową działalność gospodarczą</w:t>
      </w:r>
      <w:r w:rsidR="00C1545F">
        <w:t>)</w:t>
      </w:r>
      <w:r w:rsidRPr="00490ABA">
        <w:t xml:space="preserve">. W 2014 </w:t>
      </w:r>
      <w:r w:rsidR="00354AEC" w:rsidRPr="00490ABA">
        <w:t xml:space="preserve">roku </w:t>
      </w:r>
      <w:r w:rsidRPr="00490ABA">
        <w:t>działalność gospodarczą prowadziło zaledwie 3% organizac</w:t>
      </w:r>
      <w:r w:rsidR="00077467">
        <w:t>ji o przychodach poniżej 100 tys</w:t>
      </w:r>
      <w:r w:rsidR="00354AEC">
        <w:t xml:space="preserve">. zł, wobec </w:t>
      </w:r>
      <w:r w:rsidRPr="00490ABA">
        <w:t>27% takich organizacji w grupie osiągających przychody powyżej 1</w:t>
      </w:r>
      <w:r w:rsidR="003A6118">
        <w:t xml:space="preserve"> </w:t>
      </w:r>
      <w:r w:rsidRPr="00490ABA">
        <w:t xml:space="preserve">mln zł. Zachodzi </w:t>
      </w:r>
      <w:r w:rsidR="00354AEC">
        <w:br/>
      </w:r>
      <w:r w:rsidRPr="00490ABA">
        <w:t xml:space="preserve">tu więc mechanizm sprzężenia zwrotnego, w którym brak środków pozbawia w konsekwencji możliwości generowania kolejnych, a organizacja zostaje praktycznie odcięta od niezależnych źródeł finansowania i skazana na granty. </w:t>
      </w:r>
    </w:p>
    <w:p w14:paraId="5D7C9F84" w14:textId="519CFE49" w:rsidR="00D65208" w:rsidRDefault="00D65208" w:rsidP="00D65208">
      <w:pPr>
        <w:pStyle w:val="Legenda"/>
        <w:keepNext/>
      </w:pPr>
      <w:bookmarkStart w:id="25" w:name="_Toc511125940"/>
      <w:r>
        <w:lastRenderedPageBreak/>
        <w:t xml:space="preserve">Wykres </w:t>
      </w:r>
      <w:r w:rsidR="00876468">
        <w:fldChar w:fldCharType="begin"/>
      </w:r>
      <w:r w:rsidR="00876468">
        <w:instrText xml:space="preserve"> SEQ Wykres \* ARABIC </w:instrText>
      </w:r>
      <w:r w:rsidR="00876468">
        <w:fldChar w:fldCharType="separate"/>
      </w:r>
      <w:r w:rsidR="00E74C5A">
        <w:rPr>
          <w:noProof/>
        </w:rPr>
        <w:t>12</w:t>
      </w:r>
      <w:r w:rsidR="00876468">
        <w:rPr>
          <w:noProof/>
        </w:rPr>
        <w:fldChar w:fldCharType="end"/>
      </w:r>
      <w:r w:rsidR="00B9121C">
        <w:rPr>
          <w:noProof/>
        </w:rPr>
        <w:t>.</w:t>
      </w:r>
      <w:r w:rsidRPr="00D65208">
        <w:t xml:space="preserve"> </w:t>
      </w:r>
      <w:r w:rsidRPr="00490ABA">
        <w:t xml:space="preserve">Odsetek organizacji mających dochody z działalności gospodarczej w 2014 r. a wielkość budżetu, </w:t>
      </w:r>
      <w:r>
        <w:t>ź</w:t>
      </w:r>
      <w:r w:rsidRPr="00490ABA">
        <w:t>ródło: Kondycja sektora organizacji pozarządowych w Polsce 2015. Raport z badań, KLON/JAWOR 2016</w:t>
      </w:r>
      <w:bookmarkEnd w:id="25"/>
    </w:p>
    <w:p w14:paraId="0FEB58CC" w14:textId="5FAD449D" w:rsidR="00CD56FD" w:rsidRDefault="00CD56FD" w:rsidP="00CD56FD">
      <w:r>
        <w:rPr>
          <w:noProof/>
          <w:lang w:eastAsia="pl-PL"/>
        </w:rPr>
        <w:drawing>
          <wp:inline distT="0" distB="0" distL="0" distR="0" wp14:anchorId="0A2817DB" wp14:editId="7FF74F2B">
            <wp:extent cx="5759450" cy="3352800"/>
            <wp:effectExtent l="0" t="0" r="0" b="0"/>
            <wp:docPr id="31" name="Wykres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FEE86BD" w14:textId="77777777" w:rsidR="00490ABA" w:rsidRPr="00490ABA" w:rsidRDefault="00C1545F" w:rsidP="00C1545F">
      <w:pPr>
        <w:pStyle w:val="Nagwek2"/>
      </w:pPr>
      <w:bookmarkStart w:id="26" w:name="_Toc508718529"/>
      <w:r>
        <w:t xml:space="preserve">2.3. Deficyty zasobów </w:t>
      </w:r>
      <w:r w:rsidR="00D81322">
        <w:t>ludzkich</w:t>
      </w:r>
      <w:r>
        <w:t xml:space="preserve"> – </w:t>
      </w:r>
      <w:r w:rsidR="00490ABA" w:rsidRPr="00490ABA">
        <w:t>braki w kadrze prac</w:t>
      </w:r>
      <w:r>
        <w:t>owniczej, bazie członkowskiej i </w:t>
      </w:r>
      <w:r w:rsidR="00490ABA" w:rsidRPr="00490ABA">
        <w:t>wolontariacie oraz rozwarstwienie sektora w</w:t>
      </w:r>
      <w:r>
        <w:t xml:space="preserve"> sferze zatrudnienia</w:t>
      </w:r>
      <w:bookmarkEnd w:id="26"/>
    </w:p>
    <w:p w14:paraId="1A7A6B5F" w14:textId="42BDAAFD" w:rsidR="00962E30" w:rsidRDefault="00962E30" w:rsidP="00962E30">
      <w:r>
        <w:t xml:space="preserve">Obserwowana od lat tendencja wzrostu ilości organizacji pozarządowych nie jest skorelowana z analogicznym i równomiernym wzrostem liczby pracowników, członków i wolontariuszy. Według badań Stowarzyszenia KLON/JAWOR w latach 2010 – 2015 odsetek organizacji przeżywających trudności w utrzymaniu personelu i wolontariuszy wzrósł z 31% do 37%, a braki w liczbie zainteresowanych zaangażowaniem się jako członkowie lub wolontariusze zgłosiło </w:t>
      </w:r>
      <w:r w:rsidR="00B9121C">
        <w:br/>
      </w:r>
      <w:r>
        <w:t xml:space="preserve">aż 53% organizacji. </w:t>
      </w:r>
    </w:p>
    <w:p w14:paraId="36A7C227" w14:textId="622EF213" w:rsidR="00490ABA" w:rsidRPr="00C1545F" w:rsidRDefault="00490ABA" w:rsidP="00962E30">
      <w:pPr>
        <w:rPr>
          <w:rStyle w:val="Wyrnienieintensywne"/>
        </w:rPr>
      </w:pPr>
      <w:r w:rsidRPr="00C1545F">
        <w:rPr>
          <w:rStyle w:val="Wyrnienieintensywne"/>
        </w:rPr>
        <w:t>Braki w kadrze pracowniczej, baz</w:t>
      </w:r>
      <w:r w:rsidR="00E63E8D">
        <w:rPr>
          <w:rStyle w:val="Wyrnienieintensywne"/>
        </w:rPr>
        <w:t xml:space="preserve">ie członkowskiej i </w:t>
      </w:r>
      <w:proofErr w:type="spellStart"/>
      <w:r w:rsidR="00E63E8D">
        <w:rPr>
          <w:rStyle w:val="Wyrnienieintensywne"/>
        </w:rPr>
        <w:t>wolontariackiej</w:t>
      </w:r>
      <w:proofErr w:type="spellEnd"/>
    </w:p>
    <w:p w14:paraId="5CD025F0" w14:textId="55BFCBA5" w:rsidR="00490ABA" w:rsidRPr="00490ABA" w:rsidRDefault="00490ABA" w:rsidP="00490ABA">
      <w:r w:rsidRPr="00490ABA">
        <w:t>Łączna liczba członkostw</w:t>
      </w:r>
      <w:r w:rsidRPr="00490ABA">
        <w:rPr>
          <w:vertAlign w:val="superscript"/>
        </w:rPr>
        <w:footnoteReference w:id="7"/>
      </w:r>
      <w:r w:rsidRPr="00490ABA">
        <w:t xml:space="preserve"> (osób fizycznych oraz prawnych) badanych stowarzyszeń i podobnych organizacji społecznych wyniosła w 2014 r. 11,4 mln, z czego 99% dotyczyło osób fi</w:t>
      </w:r>
      <w:r w:rsidR="00E63E8D">
        <w:t xml:space="preserve">zycznych. Mimo </w:t>
      </w:r>
      <w:r w:rsidR="00962E30">
        <w:t>że</w:t>
      </w:r>
      <w:r w:rsidR="00E63E8D">
        <w:t xml:space="preserve"> w latach 2005–</w:t>
      </w:r>
      <w:r w:rsidRPr="00490ABA">
        <w:t xml:space="preserve">2014 liczba aktywnych stowarzyszeń i podobnych organizacji społecznych wzrosła o ponad 10%, to baza członkowska badanych podmiotów </w:t>
      </w:r>
      <w:r w:rsidRPr="00490ABA">
        <w:lastRenderedPageBreak/>
        <w:t>pozostała bez zmian</w:t>
      </w:r>
      <w:r w:rsidRPr="00490ABA">
        <w:rPr>
          <w:vertAlign w:val="superscript"/>
        </w:rPr>
        <w:footnoteReference w:id="8"/>
      </w:r>
      <w:r w:rsidRPr="00490ABA">
        <w:t>. W latach 20</w:t>
      </w:r>
      <w:r w:rsidR="00530BC4">
        <w:t>08–</w:t>
      </w:r>
      <w:r w:rsidRPr="00490ABA">
        <w:t xml:space="preserve">2015 nastąpiło gwałtowne obniżenie przeciętnej bazy członkowskiej stowarzyszeń. Podczas gdy w roku 2008 statystyczne stowarzyszenie zrzeszało 40 członków, </w:t>
      </w:r>
      <w:r w:rsidR="00E63E8D">
        <w:br/>
        <w:t xml:space="preserve">to </w:t>
      </w:r>
      <w:r w:rsidRPr="00490ABA">
        <w:t xml:space="preserve">w 2015 </w:t>
      </w:r>
      <w:r w:rsidR="00E63E8D" w:rsidRPr="00490ABA">
        <w:t xml:space="preserve">roku </w:t>
      </w:r>
      <w:r w:rsidRPr="00490ABA">
        <w:t xml:space="preserve">liczba ta, jak wskazuje </w:t>
      </w:r>
      <w:r w:rsidR="00E63E8D">
        <w:t xml:space="preserve">wykres </w:t>
      </w:r>
      <w:r w:rsidRPr="00490ABA">
        <w:t xml:space="preserve">poniżej, wynosiła </w:t>
      </w:r>
      <w:r w:rsidR="00962E30">
        <w:t xml:space="preserve">już </w:t>
      </w:r>
      <w:r w:rsidRPr="00490ABA">
        <w:t xml:space="preserve">tylko 30. </w:t>
      </w:r>
    </w:p>
    <w:p w14:paraId="6590018A" w14:textId="00DB7953" w:rsidR="00E63E8D" w:rsidRDefault="00E63E8D" w:rsidP="00E63E8D">
      <w:pPr>
        <w:pStyle w:val="Legenda"/>
        <w:keepNext/>
      </w:pPr>
      <w:bookmarkStart w:id="27" w:name="_Toc511125941"/>
      <w:r>
        <w:t xml:space="preserve">Wykres </w:t>
      </w:r>
      <w:r w:rsidR="00876468">
        <w:fldChar w:fldCharType="begin"/>
      </w:r>
      <w:r w:rsidR="00876468">
        <w:instrText xml:space="preserve"> SEQ Wykres \* ARABIC </w:instrText>
      </w:r>
      <w:r w:rsidR="00876468">
        <w:fldChar w:fldCharType="separate"/>
      </w:r>
      <w:r w:rsidR="00E74C5A">
        <w:rPr>
          <w:noProof/>
        </w:rPr>
        <w:t>13</w:t>
      </w:r>
      <w:r w:rsidR="00876468">
        <w:rPr>
          <w:noProof/>
        </w:rPr>
        <w:fldChar w:fldCharType="end"/>
      </w:r>
      <w:r w:rsidR="00B9121C">
        <w:rPr>
          <w:noProof/>
        </w:rPr>
        <w:t>.</w:t>
      </w:r>
      <w:r w:rsidRPr="00E63E8D">
        <w:t xml:space="preserve"> </w:t>
      </w:r>
      <w:r w:rsidRPr="00490ABA">
        <w:t xml:space="preserve">Średnia liczba członków stowarzyszeń w latach 2004-2014, </w:t>
      </w:r>
      <w:r>
        <w:t>ź</w:t>
      </w:r>
      <w:r w:rsidRPr="00490ABA">
        <w:t>ródło: Kondycja sektora organizacji pozarządowych w</w:t>
      </w:r>
      <w:r>
        <w:t> </w:t>
      </w:r>
      <w:r w:rsidRPr="00490ABA">
        <w:t>Polsce 2015. Raport z badań, KLON/</w:t>
      </w:r>
      <w:r w:rsidRPr="00ED7712">
        <w:t>JAWOR</w:t>
      </w:r>
      <w:r w:rsidRPr="00490ABA">
        <w:t xml:space="preserve"> 2016</w:t>
      </w:r>
      <w:bookmarkEnd w:id="27"/>
    </w:p>
    <w:p w14:paraId="1B204738" w14:textId="2CB13EDA" w:rsidR="007B5D74" w:rsidRDefault="00AE716B" w:rsidP="00490ABA">
      <w:r>
        <w:rPr>
          <w:noProof/>
          <w:lang w:eastAsia="pl-PL"/>
        </w:rPr>
        <w:drawing>
          <wp:inline distT="0" distB="0" distL="0" distR="0" wp14:anchorId="26C4F9F4" wp14:editId="635D3B67">
            <wp:extent cx="5759450" cy="3086100"/>
            <wp:effectExtent l="0" t="0" r="0" b="0"/>
            <wp:docPr id="15"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058E571" w14:textId="19229DAE" w:rsidR="00490ABA" w:rsidRPr="00490ABA" w:rsidRDefault="00490ABA" w:rsidP="00490ABA">
      <w:r w:rsidRPr="00490ABA">
        <w:t>Pomiędzy 2010 a 2014 r</w:t>
      </w:r>
      <w:r w:rsidR="00962E30">
        <w:t>okiem</w:t>
      </w:r>
      <w:r w:rsidRPr="00490ABA">
        <w:t xml:space="preserve"> odnotowano spadek liczby członkostw osób fizycznych o 12%, </w:t>
      </w:r>
      <w:r w:rsidR="00D81322">
        <w:br/>
      </w:r>
      <w:r w:rsidRPr="00490ABA">
        <w:t xml:space="preserve">tj. o 1 mln osób, przy czym dotyczył on przede wszystkim typowych stowarzyszeń i podobnych organizacji społecznych, gdzie liczba członkostw osób fizycznych spadła z 7,1 mln osób </w:t>
      </w:r>
      <w:r w:rsidR="00E63E8D">
        <w:br/>
      </w:r>
      <w:r w:rsidRPr="00490ABA">
        <w:t>w 2010 r. do 6,2</w:t>
      </w:r>
      <w:r w:rsidR="00962E30">
        <w:t xml:space="preserve"> mln w 2014 r. Charakterystyczny</w:t>
      </w:r>
      <w:r w:rsidRPr="00490ABA">
        <w:t xml:space="preserve"> jest również spadek liczby członkostw osób prawnych. Porównując lata 2014 i 2012</w:t>
      </w:r>
      <w:r w:rsidR="00E63E8D">
        <w:t>,</w:t>
      </w:r>
      <w:r w:rsidRPr="00490ABA">
        <w:t xml:space="preserve"> liczba osób prawnych będących członkami organizacji pozarządowych spadła o 47 tysięcy. Fundacje działają z definicji bez bazy członkowskiej (formalnie opierają się tylko na zarządach i radach) i nie </w:t>
      </w:r>
      <w:r w:rsidR="00962E30">
        <w:t xml:space="preserve">są w stanie funkcjonować </w:t>
      </w:r>
      <w:r w:rsidRPr="00490ABA">
        <w:t>bez pracowników oraz wolontari</w:t>
      </w:r>
      <w:r w:rsidR="00E63E8D">
        <w:t>uszy</w:t>
      </w:r>
      <w:r w:rsidRPr="00490ABA">
        <w:t xml:space="preserve">. </w:t>
      </w:r>
      <w:r w:rsidR="00E63E8D">
        <w:t xml:space="preserve">Fundacji </w:t>
      </w:r>
      <w:r w:rsidRPr="00490ABA">
        <w:t xml:space="preserve">przybywa </w:t>
      </w:r>
      <w:r w:rsidR="00E63E8D" w:rsidRPr="00490ABA">
        <w:t xml:space="preserve">też </w:t>
      </w:r>
      <w:r w:rsidRPr="00490ABA">
        <w:t>corocznie najwięcej</w:t>
      </w:r>
      <w:r w:rsidR="00962E30">
        <w:t>, a</w:t>
      </w:r>
      <w:r w:rsidRPr="00490ABA">
        <w:t xml:space="preserve"> więc odpowiadać temu </w:t>
      </w:r>
      <w:r w:rsidR="00E63E8D">
        <w:t xml:space="preserve">musi </w:t>
      </w:r>
      <w:r w:rsidRPr="00490ABA">
        <w:t>wzrastające zapotrzebowanie na pracowników i wolontariuszy.</w:t>
      </w:r>
    </w:p>
    <w:p w14:paraId="2D66FF70" w14:textId="6D0F719D" w:rsidR="00490ABA" w:rsidRPr="00490ABA" w:rsidRDefault="00490ABA" w:rsidP="00490ABA">
      <w:r w:rsidRPr="00490ABA">
        <w:t>Jak widać z powyższych danych oraz z utrzymującej się tendencji wzrostu liczby organizacji pozarządowych (szczególnie dynamiczny przyrost tworzonych fundacji)</w:t>
      </w:r>
      <w:r w:rsidR="00C00113">
        <w:t>,</w:t>
      </w:r>
      <w:r w:rsidRPr="00490ABA">
        <w:t xml:space="preserve"> sektor pozarządowy cechuje wzrastające i niezaspokojone zapotrzebowanie na </w:t>
      </w:r>
      <w:r w:rsidR="003A6118">
        <w:t>zasoby ludzkie</w:t>
      </w:r>
      <w:r w:rsidRPr="00490ABA">
        <w:t xml:space="preserve">. Badania </w:t>
      </w:r>
      <w:r w:rsidRPr="00490ABA">
        <w:lastRenderedPageBreak/>
        <w:t>potwierdzają, że organizacje pozarządowe doświad</w:t>
      </w:r>
      <w:r w:rsidR="006936F9">
        <w:t xml:space="preserve">czają coraz </w:t>
      </w:r>
      <w:r w:rsidR="00962E30">
        <w:t xml:space="preserve">silniej </w:t>
      </w:r>
      <w:r w:rsidR="006936F9">
        <w:t>braków w tym</w:t>
      </w:r>
      <w:r w:rsidRPr="00490ABA">
        <w:t xml:space="preserve"> </w:t>
      </w:r>
      <w:r w:rsidR="006936F9">
        <w:t>zakresie</w:t>
      </w:r>
      <w:r w:rsidRPr="00490ABA">
        <w:t xml:space="preserve">. Niewystarczającą liczbę chętnych do pracy społecznej deklaruje według badań GUS </w:t>
      </w:r>
      <w:r w:rsidR="00D81322">
        <w:br/>
      </w:r>
      <w:r w:rsidRPr="00490ABA">
        <w:t>29% organizacji, a brak społecznego zainteresowania d</w:t>
      </w:r>
      <w:r w:rsidR="00D81322">
        <w:t xml:space="preserve">ziałalnością trzeciego sektora </w:t>
      </w:r>
      <w:r w:rsidR="00D81322">
        <w:br/>
      </w:r>
      <w:r w:rsidRPr="00490ABA">
        <w:t xml:space="preserve">15% organizacji. Statystyki opublikowane przez </w:t>
      </w:r>
      <w:r w:rsidR="00962E30">
        <w:t xml:space="preserve">Stowarzyszenie </w:t>
      </w:r>
      <w:r w:rsidRPr="00490ABA">
        <w:t>KLON/</w:t>
      </w:r>
      <w:r w:rsidR="006936F9" w:rsidRPr="00490ABA">
        <w:t>JAWOR</w:t>
      </w:r>
      <w:r w:rsidRPr="00490ABA">
        <w:t xml:space="preserve">, ujmujące </w:t>
      </w:r>
      <w:r w:rsidR="00B9121C">
        <w:br/>
      </w:r>
      <w:r w:rsidRPr="00490ABA">
        <w:t xml:space="preserve">tę kategorię jako </w:t>
      </w:r>
      <w:r w:rsidR="00962E30">
        <w:t>„</w:t>
      </w:r>
      <w:r w:rsidRPr="00490ABA">
        <w:t>brak osób gotowych do bezinteresownego angażowania się w działania organizacji</w:t>
      </w:r>
      <w:r w:rsidR="00962E30">
        <w:t>”</w:t>
      </w:r>
      <w:r w:rsidR="00225EC1">
        <w:t>,</w:t>
      </w:r>
      <w:r w:rsidRPr="00490ABA">
        <w:t xml:space="preserve"> </w:t>
      </w:r>
      <w:r w:rsidR="00962E30">
        <w:t>pokazują, że aż</w:t>
      </w:r>
      <w:r w:rsidRPr="00490ABA">
        <w:t xml:space="preserve"> 53% organizacji </w:t>
      </w:r>
      <w:r w:rsidR="00962E30">
        <w:t xml:space="preserve">sygnalizowało problem </w:t>
      </w:r>
      <w:r w:rsidRPr="00490ABA">
        <w:t>w 2014</w:t>
      </w:r>
      <w:r w:rsidR="00C00113" w:rsidRPr="00C00113">
        <w:t xml:space="preserve"> </w:t>
      </w:r>
      <w:r w:rsidR="00C00113" w:rsidRPr="00490ABA">
        <w:t>roku</w:t>
      </w:r>
      <w:r w:rsidRPr="00490ABA">
        <w:t xml:space="preserve">, co daje wzrost o 2% w porównaniu z </w:t>
      </w:r>
      <w:r w:rsidR="00C00113" w:rsidRPr="00490ABA">
        <w:t>2012</w:t>
      </w:r>
      <w:r w:rsidR="00C00113">
        <w:t xml:space="preserve"> </w:t>
      </w:r>
      <w:r w:rsidRPr="00490ABA">
        <w:t xml:space="preserve">rokiem. Według tych samych badań 37% organizacji </w:t>
      </w:r>
      <w:r w:rsidR="00B9121C">
        <w:br/>
      </w:r>
      <w:r w:rsidRPr="00490ABA">
        <w:t>ma problem z utrzymaniem</w:t>
      </w:r>
      <w:r w:rsidR="00962E30">
        <w:t xml:space="preserve"> współpracy</w:t>
      </w:r>
      <w:r w:rsidRPr="00490ABA">
        <w:t xml:space="preserve"> personelu i wolontariuszy.</w:t>
      </w:r>
    </w:p>
    <w:p w14:paraId="636227EE" w14:textId="356DB7A7" w:rsidR="00490ABA" w:rsidRPr="00490ABA" w:rsidRDefault="00225EC1" w:rsidP="00490ABA">
      <w:r>
        <w:t xml:space="preserve">Wyniki </w:t>
      </w:r>
      <w:r w:rsidR="00490ABA" w:rsidRPr="00490ABA">
        <w:t xml:space="preserve">badań porównawczych </w:t>
      </w:r>
      <w:r>
        <w:t xml:space="preserve">realizowanych </w:t>
      </w:r>
      <w:r w:rsidR="00490ABA" w:rsidRPr="00490ABA">
        <w:t xml:space="preserve">w krajach Unii Europejskiej </w:t>
      </w:r>
      <w:r>
        <w:t>wskazują</w:t>
      </w:r>
      <w:r w:rsidR="00490ABA" w:rsidRPr="00490ABA">
        <w:t xml:space="preserve">, </w:t>
      </w:r>
      <w:r w:rsidR="00B9121C">
        <w:br/>
      </w:r>
      <w:r w:rsidR="00490ABA" w:rsidRPr="00490ABA">
        <w:t>że we wszystkich pomiarach wartości systematycznego wolontariatu</w:t>
      </w:r>
      <w:r w:rsidR="00962E30">
        <w:t>,</w:t>
      </w:r>
      <w:r w:rsidR="00490ABA" w:rsidRPr="00490ABA">
        <w:t xml:space="preserve"> Polska zajmuje </w:t>
      </w:r>
      <w:r>
        <w:t xml:space="preserve">jedno </w:t>
      </w:r>
      <w:r w:rsidR="00B9121C">
        <w:br/>
      </w:r>
      <w:r w:rsidR="00490ABA" w:rsidRPr="00490ABA">
        <w:t>z ostatnich miejsc i wykazuje się wskaźnikam</w:t>
      </w:r>
      <w:r w:rsidR="00D81322">
        <w:t xml:space="preserve">i </w:t>
      </w:r>
      <w:r>
        <w:t xml:space="preserve">znacząco </w:t>
      </w:r>
      <w:r w:rsidR="00D81322">
        <w:t>poniżej średniej europejskiej</w:t>
      </w:r>
      <w:r w:rsidR="00490ABA" w:rsidRPr="00490ABA">
        <w:t xml:space="preserve">. Najbardziej dramatycznie w tych statystykach wygląda wskaźnik </w:t>
      </w:r>
      <w:r w:rsidR="00077467">
        <w:t xml:space="preserve">liczby </w:t>
      </w:r>
      <w:r w:rsidR="00490ABA" w:rsidRPr="00490ABA">
        <w:t xml:space="preserve">osób zaangażowanych </w:t>
      </w:r>
      <w:r w:rsidR="00B9121C">
        <w:br/>
      </w:r>
      <w:r w:rsidR="00490ABA" w:rsidRPr="00490ABA">
        <w:t xml:space="preserve">w wolontariat długoterminowy. Na pytanie, </w:t>
      </w:r>
      <w:r w:rsidR="00962E30">
        <w:t>„</w:t>
      </w:r>
      <w:r w:rsidR="00490ABA" w:rsidRPr="00490ABA">
        <w:t>czy wykonujesz regularną działalność wolontariacką</w:t>
      </w:r>
      <w:r w:rsidR="00962E30">
        <w:t>?”</w:t>
      </w:r>
      <w:r w:rsidR="00490ABA" w:rsidRPr="00490ABA">
        <w:t xml:space="preserve"> odpowiedzi „tak” udzieliło tylko 2% badanych Polaków, co zsumowane z 7% Polaków deklarujących okazjonalne zaangażowanie w wolontariat daje nam i tak najniższą pozycję w Europie, dla której średni wynik w tym badaniu wyniósł 24%</w:t>
      </w:r>
      <w:r w:rsidR="00490ABA" w:rsidRPr="00490ABA">
        <w:rPr>
          <w:vertAlign w:val="superscript"/>
        </w:rPr>
        <w:footnoteReference w:id="9"/>
      </w:r>
      <w:r w:rsidR="00490ABA" w:rsidRPr="00490ABA">
        <w:t>. Podstawowy wskaźnik, jakim jest procentowy udział osób w wieku 15 lat i więcej angażujących się w działalność wolontariatu</w:t>
      </w:r>
      <w:r w:rsidR="00C00113">
        <w:t>,</w:t>
      </w:r>
      <w:r w:rsidR="00490ABA" w:rsidRPr="00490ABA">
        <w:t xml:space="preserve"> wskazuje na niskie zaangażowanie Polaków na tym polu i jedynie niewielką tendencję wzrostową pomimo </w:t>
      </w:r>
      <w:r>
        <w:t xml:space="preserve">systematycznie realizowanych </w:t>
      </w:r>
      <w:r w:rsidR="00490ABA" w:rsidRPr="00490ABA">
        <w:t xml:space="preserve">programów </w:t>
      </w:r>
      <w:r>
        <w:t xml:space="preserve">promocji wolontariatu </w:t>
      </w:r>
      <w:r w:rsidR="00490ABA" w:rsidRPr="00490ABA">
        <w:t>zarówno ze strony samego sektora obywatelskiego</w:t>
      </w:r>
      <w:r w:rsidR="00D65208">
        <w:t>,</w:t>
      </w:r>
      <w:r w:rsidR="00490ABA" w:rsidRPr="00490ABA">
        <w:t xml:space="preserve"> jak i instytucji państwa. </w:t>
      </w:r>
      <w:r w:rsidR="00B9121C">
        <w:br/>
      </w:r>
      <w:r w:rsidR="00490ABA" w:rsidRPr="00490ABA">
        <w:t xml:space="preserve">W 2011 </w:t>
      </w:r>
      <w:r w:rsidR="00D65208" w:rsidRPr="00490ABA">
        <w:t xml:space="preserve">roku </w:t>
      </w:r>
      <w:r w:rsidR="00490ABA" w:rsidRPr="00490ABA">
        <w:t xml:space="preserve">udział ten wynosił 10,3%, a w 2016 </w:t>
      </w:r>
      <w:r w:rsidR="00D65208" w:rsidRPr="00490ABA">
        <w:t xml:space="preserve">roku </w:t>
      </w:r>
      <w:r w:rsidR="00490ABA" w:rsidRPr="00490ABA">
        <w:t xml:space="preserve">spadł do 8,5% i nadal jest najniższym wskaźnikiem w Europie. Niewiele lepiej wyglądają wyniki poszerzone o realizowany wolontariat nieformalny, czyli pracę niezarobkową wykonywaną samodzielnie poza wszelkimi strukturami. W tym wypadku dane </w:t>
      </w:r>
      <w:r w:rsidR="00D81322">
        <w:t xml:space="preserve">GUS na 2013 </w:t>
      </w:r>
      <w:r w:rsidR="00D65208">
        <w:t xml:space="preserve">rok </w:t>
      </w:r>
      <w:r w:rsidR="00D81322">
        <w:t xml:space="preserve">mówiły o 21,4% </w:t>
      </w:r>
      <w:r w:rsidR="00490ABA" w:rsidRPr="00490ABA">
        <w:t xml:space="preserve">obywateli (brak danych porównawczych na dalsze lata w tej samej metodologii), natomiast bardzo wymowne są raporty z badań Stowarzyszenia </w:t>
      </w:r>
      <w:r w:rsidRPr="00490ABA">
        <w:t>KLON/JAWOR</w:t>
      </w:r>
      <w:r w:rsidR="00490ABA" w:rsidRPr="00490ABA">
        <w:t>, które zestawiając dane z lat 2011, 2012 i 2013</w:t>
      </w:r>
      <w:r w:rsidR="00D65208">
        <w:t>,</w:t>
      </w:r>
      <w:r w:rsidR="00490ABA" w:rsidRPr="00490ABA">
        <w:t xml:space="preserve"> </w:t>
      </w:r>
      <w:r w:rsidR="00490ABA" w:rsidRPr="00490ABA">
        <w:lastRenderedPageBreak/>
        <w:t xml:space="preserve">potwierdzają regres społecznej aktywności </w:t>
      </w:r>
      <w:proofErr w:type="spellStart"/>
      <w:r w:rsidR="00490ABA" w:rsidRPr="00490ABA">
        <w:t>wolontariackiej</w:t>
      </w:r>
      <w:proofErr w:type="spellEnd"/>
      <w:r w:rsidR="00490ABA" w:rsidRPr="00490ABA">
        <w:t xml:space="preserve"> w jej formalnym jak i nieformalnym wymiarze</w:t>
      </w:r>
      <w:r w:rsidR="00490ABA" w:rsidRPr="00490ABA">
        <w:rPr>
          <w:vertAlign w:val="superscript"/>
        </w:rPr>
        <w:footnoteReference w:id="10"/>
      </w:r>
      <w:r w:rsidR="00490ABA" w:rsidRPr="00490ABA">
        <w:t>.</w:t>
      </w:r>
    </w:p>
    <w:p w14:paraId="47A2B0CC" w14:textId="3F0349A3" w:rsidR="00490ABA" w:rsidRPr="00490ABA" w:rsidRDefault="00D81322" w:rsidP="00490ABA">
      <w:r>
        <w:t>W ocenie konsekwencji rosnących barier</w:t>
      </w:r>
      <w:r w:rsidR="00490ABA" w:rsidRPr="00490ABA">
        <w:t xml:space="preserve"> </w:t>
      </w:r>
      <w:r>
        <w:t>związanych z rozwojem zasobów</w:t>
      </w:r>
      <w:r w:rsidR="00490ABA" w:rsidRPr="00490ABA">
        <w:t xml:space="preserve"> </w:t>
      </w:r>
      <w:r>
        <w:t xml:space="preserve">ludzkich, </w:t>
      </w:r>
      <w:r w:rsidR="00490ABA" w:rsidRPr="00490ABA">
        <w:t>dotyczących szczególnie nieod</w:t>
      </w:r>
      <w:r>
        <w:t xml:space="preserve">płatnej pracy społecznej, istotne </w:t>
      </w:r>
      <w:r w:rsidR="00490ABA" w:rsidRPr="00490ABA">
        <w:t xml:space="preserve">jest uwzględnienie faktu, </w:t>
      </w:r>
      <w:r>
        <w:br/>
      </w:r>
      <w:r w:rsidR="00490ABA" w:rsidRPr="00490ABA">
        <w:t xml:space="preserve">że według deklaracji złożonych w 2014 </w:t>
      </w:r>
      <w:r w:rsidR="00D65208" w:rsidRPr="00490ABA">
        <w:t xml:space="preserve">roku </w:t>
      </w:r>
      <w:r w:rsidR="00490ABA" w:rsidRPr="00490ABA">
        <w:t>aż 93% badanych organizacji korzystało z pracy społecznej</w:t>
      </w:r>
      <w:r w:rsidR="00D65208">
        <w:t>, która</w:t>
      </w:r>
      <w:r w:rsidR="00490ABA" w:rsidRPr="00490ABA">
        <w:t xml:space="preserve"> stanowiła dla większości z nich pod</w:t>
      </w:r>
      <w:r>
        <w:t xml:space="preserve">stawę prowadzenia działalności </w:t>
      </w:r>
      <w:r>
        <w:br/>
        <w:t>(</w:t>
      </w:r>
      <w:r w:rsidR="00490ABA" w:rsidRPr="00490ABA">
        <w:t xml:space="preserve">65% podmiotów w ogóle nie korzystało z pracy </w:t>
      </w:r>
      <w:r>
        <w:t>od</w:t>
      </w:r>
      <w:r w:rsidR="00490ABA" w:rsidRPr="00490ABA">
        <w:t>płatnej</w:t>
      </w:r>
      <w:r>
        <w:t>)</w:t>
      </w:r>
      <w:r w:rsidR="00490ABA" w:rsidRPr="00490ABA">
        <w:t xml:space="preserve">. Niedostatek liczby osób chętnych do zaangażowania się w działania społeczne jest więc czynnikiem alarmującym. Każdy regres </w:t>
      </w:r>
      <w:r w:rsidR="00D65208">
        <w:br/>
      </w:r>
      <w:r w:rsidR="00490ABA" w:rsidRPr="00490ABA">
        <w:t xml:space="preserve">w dziedzinie wolontariatu, a także brak poszukiwania rozwiązań problemu rosnącego </w:t>
      </w:r>
      <w:r w:rsidR="00D65208">
        <w:br/>
      </w:r>
      <w:r w:rsidR="00490ABA" w:rsidRPr="00490ABA">
        <w:t>i niezaspokojonego zapotrzebowania na</w:t>
      </w:r>
      <w:r w:rsidR="00D65208">
        <w:t xml:space="preserve"> wolontariat</w:t>
      </w:r>
      <w:r w:rsidR="00962E30">
        <w:t>,</w:t>
      </w:r>
      <w:r w:rsidR="00D65208">
        <w:t xml:space="preserve"> nieuchronnie </w:t>
      </w:r>
      <w:r w:rsidR="00962E30">
        <w:t xml:space="preserve">i negatywnie </w:t>
      </w:r>
      <w:r w:rsidR="00D65208">
        <w:t>odbijają</w:t>
      </w:r>
      <w:r w:rsidR="00490ABA" w:rsidRPr="00490ABA">
        <w:t xml:space="preserve"> się na kondycji i funkcjonowaniu całego sektora.</w:t>
      </w:r>
    </w:p>
    <w:p w14:paraId="47656C0F" w14:textId="77777777" w:rsidR="00490ABA" w:rsidRPr="00D81322" w:rsidRDefault="00490ABA" w:rsidP="00D81322">
      <w:pPr>
        <w:rPr>
          <w:rStyle w:val="Wyrnienieintensywne"/>
        </w:rPr>
      </w:pPr>
      <w:r w:rsidRPr="00D81322">
        <w:rPr>
          <w:rStyle w:val="Wyrnienieintensywne"/>
        </w:rPr>
        <w:t>Rozwarstwienie sektora w sferze zatrudnienia.</w:t>
      </w:r>
    </w:p>
    <w:p w14:paraId="18EF4F26" w14:textId="58CF85D2" w:rsidR="00490ABA" w:rsidRPr="00490ABA" w:rsidRDefault="00490ABA" w:rsidP="00490ABA">
      <w:r w:rsidRPr="00490ABA">
        <w:t xml:space="preserve">Braki i bariery dotyczące funkcjonowania i rozwoju organizacji pozarządowych </w:t>
      </w:r>
      <w:r w:rsidR="00423A02">
        <w:t xml:space="preserve">są widoczne także </w:t>
      </w:r>
      <w:r w:rsidR="00D65208">
        <w:t>w innych zjawiskach oraz</w:t>
      </w:r>
      <w:r w:rsidRPr="00490ABA">
        <w:t xml:space="preserve"> mechanizmach charakteryzujących </w:t>
      </w:r>
      <w:r w:rsidR="00D81322">
        <w:t>kapitał ludzki organizacji obywatelskich</w:t>
      </w:r>
      <w:r w:rsidRPr="00490ABA">
        <w:t xml:space="preserve">. Pierwszym z nich jest duże rozwarstwienie organizacji pod względem liczby zatrudnionego personelu. W 2014 </w:t>
      </w:r>
      <w:r w:rsidR="00D65208" w:rsidRPr="00490ABA">
        <w:t xml:space="preserve">roku </w:t>
      </w:r>
      <w:r w:rsidRPr="00490ABA">
        <w:t>w ramach stosunku pracy w jednej organizacji pracowało średnio 11 osób.</w:t>
      </w:r>
      <w:r w:rsidR="00122F76">
        <w:t xml:space="preserve"> W</w:t>
      </w:r>
      <w:r w:rsidRPr="00490ABA">
        <w:t xml:space="preserve"> połowie organizacji zatrudniających personel etatowy pracowało w rzeczywistości kilkakrotnie mniej osób i mediana dla całej zbiorowości była </w:t>
      </w:r>
      <w:r w:rsidR="00D81322">
        <w:br/>
      </w:r>
      <w:r w:rsidRPr="00490ABA">
        <w:t>4-krotnie niższa</w:t>
      </w:r>
      <w:r w:rsidR="00D65208">
        <w:t>,</w:t>
      </w:r>
      <w:r w:rsidRPr="00490ABA">
        <w:t xml:space="preserve"> wynosząc mniej niż 3 osoby zatrudnione. W ponad 90% </w:t>
      </w:r>
      <w:r w:rsidR="00423A02">
        <w:t xml:space="preserve">organizacji </w:t>
      </w:r>
      <w:r w:rsidR="00D65208">
        <w:t xml:space="preserve">był </w:t>
      </w:r>
      <w:r w:rsidR="00B9121C">
        <w:br/>
      </w:r>
      <w:r w:rsidR="00D65208">
        <w:t xml:space="preserve">to </w:t>
      </w:r>
      <w:r w:rsidRPr="00490ABA">
        <w:t xml:space="preserve">najwyżej 1 etat przeliczeniowy. Jest to zjawisko analogiczne do rozwarstwienia ekonomicznego i związane z </w:t>
      </w:r>
      <w:proofErr w:type="spellStart"/>
      <w:r w:rsidRPr="00490ABA">
        <w:t>oligarchizacją</w:t>
      </w:r>
      <w:proofErr w:type="spellEnd"/>
      <w:r w:rsidRPr="00490ABA">
        <w:t xml:space="preserve"> sektora, w którym bardzo mała grupa dużych podmiotów zatrudniających znaczną liczbę pracowników kontrastuje z przeważającą większością organizacji o niskiej liczbie zatrudnionych. </w:t>
      </w:r>
      <w:r w:rsidR="00D65208">
        <w:t>Poziom zatrudnienia</w:t>
      </w:r>
      <w:r w:rsidRPr="00490ABA">
        <w:t xml:space="preserve"> </w:t>
      </w:r>
      <w:r w:rsidR="00D65208" w:rsidRPr="00490ABA">
        <w:t xml:space="preserve">oczywiście </w:t>
      </w:r>
      <w:r w:rsidRPr="00490ABA">
        <w:t xml:space="preserve">przekłada się następnie na potencjał i możliwości organizacyjno-instytucjonalne, które uwzględniając nieuchronną wewnątrzsektorową konkurencję choćby o dostęp do środków </w:t>
      </w:r>
      <w:r w:rsidR="00423A02">
        <w:br/>
      </w:r>
      <w:r w:rsidR="00122F76">
        <w:t>i sukcesy w trybie postę</w:t>
      </w:r>
      <w:r w:rsidRPr="00490ABA">
        <w:t xml:space="preserve">powań konkursowych, wyraźnie uprzywilejowują te duże, zasobne </w:t>
      </w:r>
      <w:r w:rsidR="00423A02">
        <w:br/>
      </w:r>
      <w:r w:rsidRPr="00490ABA">
        <w:t xml:space="preserve">w profesjonalną kadrę podmioty. Według przedstawionych poniżej </w:t>
      </w:r>
      <w:r w:rsidR="00D65208">
        <w:t xml:space="preserve">wyników </w:t>
      </w:r>
      <w:r w:rsidRPr="00490ABA">
        <w:t xml:space="preserve">badań GUS </w:t>
      </w:r>
      <w:r w:rsidR="00D65208">
        <w:br/>
      </w:r>
      <w:r w:rsidRPr="00490ABA">
        <w:t xml:space="preserve">9% zasobnych organizacji </w:t>
      </w:r>
      <w:r w:rsidR="00D65208">
        <w:t xml:space="preserve">(tj. </w:t>
      </w:r>
      <w:r w:rsidRPr="00490ABA">
        <w:t>wykazujących zatr</w:t>
      </w:r>
      <w:r w:rsidR="00D65208">
        <w:t xml:space="preserve">udnienie powyżej 20 pracowników) generowało </w:t>
      </w:r>
      <w:r w:rsidRPr="00490ABA">
        <w:t xml:space="preserve">60% całego zatrudnienia w sektorze pozarządowym. Około 67% zbiorowości </w:t>
      </w:r>
      <w:r w:rsidRPr="00490ABA">
        <w:lastRenderedPageBreak/>
        <w:t xml:space="preserve">stanowiły organizacje, które zatrudniały nie więcej niż 5 pracowników, jednak </w:t>
      </w:r>
      <w:r w:rsidR="00D65208">
        <w:t xml:space="preserve">pracujące </w:t>
      </w:r>
      <w:r w:rsidRPr="00490ABA">
        <w:t xml:space="preserve">w nich osoby </w:t>
      </w:r>
      <w:r w:rsidR="00D65208">
        <w:br/>
      </w:r>
      <w:r w:rsidRPr="00490ABA">
        <w:t>to jedynie 15% całego personelu etatowego stowarzyszeń i podobnych organizacji społecznych oraz fundacji. Z kolei niespełna 10% podmiotów dysponujących co najmniej 20 pracownikami kumulowało 60% zatrudnienia.</w:t>
      </w:r>
    </w:p>
    <w:p w14:paraId="297A64CC" w14:textId="5EA2F9BF" w:rsidR="00D65208" w:rsidRDefault="00D65208" w:rsidP="00D65208">
      <w:pPr>
        <w:pStyle w:val="Legenda"/>
        <w:keepNext/>
      </w:pPr>
      <w:bookmarkStart w:id="28" w:name="_Toc511125942"/>
      <w:r>
        <w:t xml:space="preserve">Wykres </w:t>
      </w:r>
      <w:r w:rsidR="00876468">
        <w:fldChar w:fldCharType="begin"/>
      </w:r>
      <w:r w:rsidR="00876468">
        <w:instrText xml:space="preserve"> SEQ Wykres \* ARABIC </w:instrText>
      </w:r>
      <w:r w:rsidR="00876468">
        <w:fldChar w:fldCharType="separate"/>
      </w:r>
      <w:r w:rsidR="00E74C5A">
        <w:rPr>
          <w:noProof/>
        </w:rPr>
        <w:t>14</w:t>
      </w:r>
      <w:r w:rsidR="00876468">
        <w:rPr>
          <w:noProof/>
        </w:rPr>
        <w:fldChar w:fldCharType="end"/>
      </w:r>
      <w:r w:rsidR="005B1925">
        <w:rPr>
          <w:noProof/>
        </w:rPr>
        <w:t>.</w:t>
      </w:r>
      <w:r w:rsidRPr="00D65208">
        <w:t xml:space="preserve"> </w:t>
      </w:r>
      <w:r w:rsidRPr="00490ABA">
        <w:t xml:space="preserve">Struktura zatrudnienia w </w:t>
      </w:r>
      <w:r w:rsidRPr="00ED7712">
        <w:t>organizacjach</w:t>
      </w:r>
      <w:r w:rsidRPr="00490ABA">
        <w:t xml:space="preserve"> pozarządowych w roku 2014, </w:t>
      </w:r>
      <w:r>
        <w:t>ź</w:t>
      </w:r>
      <w:r w:rsidRPr="00490ABA">
        <w:t>ródło: Sektor non-profit w 2014 r., GUS 2016</w:t>
      </w:r>
      <w:bookmarkEnd w:id="28"/>
    </w:p>
    <w:p w14:paraId="65C4B9DA" w14:textId="2F834FB6" w:rsidR="00D81322" w:rsidRDefault="00AE716B" w:rsidP="00490ABA">
      <w:r w:rsidRPr="00AE716B">
        <w:rPr>
          <w:noProof/>
          <w:shd w:val="clear" w:color="auto" w:fill="FFFFFF" w:themeFill="background1"/>
          <w:lang w:eastAsia="pl-PL"/>
        </w:rPr>
        <w:drawing>
          <wp:inline distT="0" distB="0" distL="0" distR="0" wp14:anchorId="36D20125" wp14:editId="43BD0852">
            <wp:extent cx="5759450" cy="3181350"/>
            <wp:effectExtent l="0" t="0" r="0" b="0"/>
            <wp:docPr id="32" name="Wykres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B95C013" w14:textId="77777777" w:rsidR="00AE716B" w:rsidRDefault="00AE716B" w:rsidP="00490ABA"/>
    <w:p w14:paraId="471AD430" w14:textId="2BAF254D" w:rsidR="00490ABA" w:rsidRPr="00490ABA" w:rsidRDefault="00490ABA" w:rsidP="00490ABA">
      <w:r w:rsidRPr="00490ABA">
        <w:t xml:space="preserve">Zatrudnienie etatowe w organizacjach sektora wzrastało z 99,3 tys. w 2005 r. do 114,4 tys. </w:t>
      </w:r>
      <w:r w:rsidR="00590292">
        <w:br/>
      </w:r>
      <w:r w:rsidR="00530BC4">
        <w:t>w</w:t>
      </w:r>
      <w:r w:rsidRPr="00490ABA">
        <w:t xml:space="preserve"> 2010 r., 123,2 tys. w 2012 r. i 128,8 tys. w 2014 r. Ponieważ rosła także liczba organizacji, </w:t>
      </w:r>
      <w:r w:rsidR="00590292">
        <w:br/>
      </w:r>
      <w:r w:rsidRPr="00490ABA">
        <w:t>w latach 2005</w:t>
      </w:r>
      <w:r w:rsidR="00530BC4">
        <w:t>–</w:t>
      </w:r>
      <w:r w:rsidRPr="00490ABA">
        <w:t xml:space="preserve">2012 utrzymywał się wskaźnik 1,5 etatu na jedną aktywnie działającą organizację. W 2014 r. wskaźnik ten obniżył się do 1,3 w wyniku szybszego wzrostu liczby organizacji przy równoczesnym </w:t>
      </w:r>
      <w:r w:rsidR="001A1B61">
        <w:t>wolniejszym</w:t>
      </w:r>
      <w:r w:rsidRPr="00490ABA">
        <w:t xml:space="preserve"> wzroście zatrudnienia. W 2010 r. 62% organizacji nie korzystało z odpłatnego zatrudnienia, 22% </w:t>
      </w:r>
      <w:r w:rsidR="00122F76">
        <w:t xml:space="preserve">współpracowało </w:t>
      </w:r>
      <w:r w:rsidRPr="00490ABA">
        <w:t>wyłącznie w ramach umów cywilnoprawnych, a 16% deklarowało posiadanie pracowników etatowych. W 2014 r</w:t>
      </w:r>
      <w:r w:rsidR="00590292">
        <w:t>oku</w:t>
      </w:r>
      <w:r w:rsidRPr="00490ABA">
        <w:t xml:space="preserve"> było </w:t>
      </w:r>
      <w:r w:rsidR="00590292">
        <w:br/>
      </w:r>
      <w:r w:rsidRPr="00490ABA">
        <w:t>to odpowiednio 61%, 24% i 15%.</w:t>
      </w:r>
    </w:p>
    <w:p w14:paraId="6B4B06CF" w14:textId="47EF65CC" w:rsidR="00490ABA" w:rsidRPr="00490ABA" w:rsidRDefault="00C04ED1" w:rsidP="00490ABA">
      <w:r>
        <w:t>W latach 2010–</w:t>
      </w:r>
      <w:r w:rsidR="00490ABA" w:rsidRPr="00490ABA">
        <w:t xml:space="preserve">2014 liczba osób zatrudnionych w stowarzyszeniach i podobnych organizacjach społecznych oraz fundacjach wzrosła o 17,2 tys., czyli o 20%. Jest to znaczny wzrost bez względu na to, czy zatrudnienie dotyczyło nowych osób, czy obejmowało </w:t>
      </w:r>
      <w:r w:rsidR="00490ABA" w:rsidRPr="00490ABA">
        <w:lastRenderedPageBreak/>
        <w:t>działających wcześniej nieodpłatnie członków tych organizacji. W tym samym okresie liczba organizacji zatrudniających personel etatowy zwiększyła się jedynie o</w:t>
      </w:r>
      <w:r w:rsidR="00D12F24">
        <w:t xml:space="preserve"> 0,4 tys., tj. o 4%, co oznacza, że </w:t>
      </w:r>
      <w:r w:rsidR="00490ABA" w:rsidRPr="00490ABA">
        <w:t xml:space="preserve">fakt </w:t>
      </w:r>
      <w:r w:rsidR="00D12F24">
        <w:t xml:space="preserve">wzrostu </w:t>
      </w:r>
      <w:r w:rsidR="00490ABA" w:rsidRPr="00490ABA">
        <w:t xml:space="preserve">liczby organizacji </w:t>
      </w:r>
      <w:r w:rsidR="00D12F24">
        <w:t xml:space="preserve">nie jest bezpośrednio skorelowany ze </w:t>
      </w:r>
      <w:r w:rsidR="00490ABA" w:rsidRPr="00490ABA">
        <w:t>wzrost</w:t>
      </w:r>
      <w:r w:rsidR="00D12F24">
        <w:t>em</w:t>
      </w:r>
      <w:r w:rsidR="00490ABA" w:rsidRPr="00490ABA">
        <w:t xml:space="preserve"> liczby miejsc pracy </w:t>
      </w:r>
      <w:r w:rsidR="00590292">
        <w:br/>
      </w:r>
      <w:r w:rsidR="00490ABA" w:rsidRPr="00490ABA">
        <w:t xml:space="preserve">w sektorze. </w:t>
      </w:r>
      <w:r w:rsidR="00D12F24">
        <w:t>Dodatkowo n</w:t>
      </w:r>
      <w:r w:rsidR="00490ABA" w:rsidRPr="00490ABA">
        <w:t xml:space="preserve">ie </w:t>
      </w:r>
      <w:r w:rsidR="00D12F24">
        <w:t xml:space="preserve">uwidacznia się </w:t>
      </w:r>
      <w:r w:rsidR="00490ABA" w:rsidRPr="00490ABA">
        <w:t xml:space="preserve">wzrost zatrudnienia w małych i średnich organizacjach. </w:t>
      </w:r>
      <w:r w:rsidR="00D12F24">
        <w:t xml:space="preserve">Brak równowagi </w:t>
      </w:r>
      <w:r w:rsidR="00490ABA" w:rsidRPr="00490ABA">
        <w:t>w dynamice rozwoju zatrudnienia w sektorze potwierdza też systematyczny wzrost przeciętnej liczby pracowników etatowych przypadających na jedną zatrudniającą organizację z 8 pracowników w 2010 r., poprzez 9 w 2012 r. i 10 w 2014 r., przy równoczesnym utrzymywaniu się mediany w tych latach na takim samym poziomie – tzn. mniej ni</w:t>
      </w:r>
      <w:r w:rsidR="00D12F24">
        <w:t>ż 3 pracowników na organizację.</w:t>
      </w:r>
    </w:p>
    <w:p w14:paraId="38511714" w14:textId="77777777" w:rsidR="00490ABA" w:rsidRPr="00590292" w:rsidRDefault="00490ABA" w:rsidP="00590292">
      <w:pPr>
        <w:rPr>
          <w:rStyle w:val="Wyrnienieintensywne"/>
        </w:rPr>
      </w:pPr>
      <w:r w:rsidRPr="00590292">
        <w:rPr>
          <w:rStyle w:val="Wyrnienieintensywne"/>
        </w:rPr>
        <w:t xml:space="preserve">Mała atrakcyjność </w:t>
      </w:r>
      <w:r w:rsidR="00590292" w:rsidRPr="00590292">
        <w:rPr>
          <w:rStyle w:val="Wyrnienieintensywne"/>
        </w:rPr>
        <w:t xml:space="preserve">płacowa </w:t>
      </w:r>
      <w:r w:rsidRPr="00590292">
        <w:rPr>
          <w:rStyle w:val="Wyrnienieintensywne"/>
        </w:rPr>
        <w:t>i inne zagrożenia dotyczące zatrudnienia w sektorze</w:t>
      </w:r>
    </w:p>
    <w:p w14:paraId="4DD42712" w14:textId="12718AE7" w:rsidR="00AE716B" w:rsidRDefault="00490ABA" w:rsidP="00D12F24">
      <w:pPr>
        <w:rPr>
          <w:i/>
        </w:rPr>
      </w:pPr>
      <w:r w:rsidRPr="00490ABA">
        <w:t xml:space="preserve">W statystykach dotyczących personelu zatrudnionego w organizacjach pozarządowych zauważyć można jeszcze jeden istotny element mogący rzutować na jakość działań organizacji i ich konkurencyjność w zakresie wykonywania zadań publicznych. </w:t>
      </w:r>
      <w:r w:rsidR="00D12F24">
        <w:t>Czynnikiem tym jest generalnie niski poziom płac oferowany</w:t>
      </w:r>
      <w:r w:rsidRPr="00490ABA">
        <w:t xml:space="preserve"> przez sektor pozarządowy. W 2014 </w:t>
      </w:r>
      <w:r w:rsidR="00C04ED1" w:rsidRPr="00490ABA">
        <w:t xml:space="preserve">roku </w:t>
      </w:r>
      <w:r w:rsidRPr="00490ABA">
        <w:t xml:space="preserve">średnia pensja przypadająca na jednego pełnoetatowego pracownika wyniosła niecałe 3 tys. zł brutto i była znacznie niższa od średniej pensji krajowej wynoszącej wówczas 3,8 tys. zł. Szczegółowe dane w kwestii nieatrakcyjności zarobków w trzecim sektorze przedstawia </w:t>
      </w:r>
      <w:r w:rsidR="006720EA">
        <w:t>wykres zamieszczony</w:t>
      </w:r>
      <w:r w:rsidRPr="00490ABA">
        <w:t xml:space="preserve"> poniżej. </w:t>
      </w:r>
      <w:r w:rsidR="00122F76">
        <w:t>Dlatego też coraz częściej można spotkać się z opinią:</w:t>
      </w:r>
      <w:r w:rsidRPr="00490ABA">
        <w:t xml:space="preserve"> </w:t>
      </w:r>
      <w:r w:rsidR="00590292">
        <w:rPr>
          <w:i/>
        </w:rPr>
        <w:t>„</w:t>
      </w:r>
      <w:r w:rsidRPr="00490ABA">
        <w:rPr>
          <w:i/>
        </w:rPr>
        <w:t xml:space="preserve">Gdybym miał taką odpowiedzialną pracę gdzieś w biznesie, </w:t>
      </w:r>
      <w:r w:rsidR="00590292">
        <w:rPr>
          <w:i/>
        </w:rPr>
        <w:t>to zarabiałbym znacznie więcej.”</w:t>
      </w:r>
    </w:p>
    <w:p w14:paraId="483DE7E7" w14:textId="07C43558" w:rsidR="00C04ED1" w:rsidRDefault="00C04ED1" w:rsidP="00C04ED1">
      <w:pPr>
        <w:pStyle w:val="Legenda"/>
        <w:keepNext/>
      </w:pPr>
      <w:bookmarkStart w:id="29" w:name="_Toc511125943"/>
      <w:r>
        <w:lastRenderedPageBreak/>
        <w:t xml:space="preserve">Wykres </w:t>
      </w:r>
      <w:r w:rsidR="00876468">
        <w:fldChar w:fldCharType="begin"/>
      </w:r>
      <w:r w:rsidR="00876468">
        <w:instrText xml:space="preserve"> SEQ Wykres \* ARABIC </w:instrText>
      </w:r>
      <w:r w:rsidR="00876468">
        <w:fldChar w:fldCharType="separate"/>
      </w:r>
      <w:r w:rsidR="00E74C5A">
        <w:rPr>
          <w:noProof/>
        </w:rPr>
        <w:t>15</w:t>
      </w:r>
      <w:r w:rsidR="00876468">
        <w:rPr>
          <w:noProof/>
        </w:rPr>
        <w:fldChar w:fldCharType="end"/>
      </w:r>
      <w:r w:rsidR="005B1925">
        <w:rPr>
          <w:noProof/>
        </w:rPr>
        <w:t>.</w:t>
      </w:r>
      <w:r w:rsidRPr="00C04ED1">
        <w:t xml:space="preserve"> </w:t>
      </w:r>
      <w:r w:rsidRPr="00490ABA">
        <w:t>Uśrednione zarobki pracowników zatrudnionych w organizacjach pozarządowych w roku 2014 w przeliczeniu na</w:t>
      </w:r>
      <w:r>
        <w:t> </w:t>
      </w:r>
      <w:r w:rsidRPr="00490ABA">
        <w:t>pełnoetatowy wymiar pracy</w:t>
      </w:r>
      <w:r>
        <w:t>,</w:t>
      </w:r>
      <w:r w:rsidRPr="00490ABA">
        <w:t xml:space="preserve"> </w:t>
      </w:r>
      <w:r>
        <w:t>ź</w:t>
      </w:r>
      <w:r w:rsidRPr="00490ABA">
        <w:t>ródło: Kondycja sektora organizacji pozarządowych w Polsce 2015. Raport z badań, KLON/JAWOR 2016</w:t>
      </w:r>
      <w:bookmarkEnd w:id="29"/>
    </w:p>
    <w:p w14:paraId="58EC3C18" w14:textId="0A5EDC50" w:rsidR="00590292" w:rsidRDefault="00AE716B" w:rsidP="00490ABA">
      <w:pPr>
        <w:rPr>
          <w:iCs/>
        </w:rPr>
      </w:pPr>
      <w:r>
        <w:rPr>
          <w:noProof/>
          <w:lang w:eastAsia="pl-PL"/>
        </w:rPr>
        <w:drawing>
          <wp:inline distT="0" distB="0" distL="0" distR="0" wp14:anchorId="7436AEF8" wp14:editId="66E4E0D6">
            <wp:extent cx="5759450" cy="3055815"/>
            <wp:effectExtent l="0" t="0" r="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9CA45D3" w14:textId="6678A4B6" w:rsidR="00490ABA" w:rsidRDefault="005B1925" w:rsidP="00490ABA">
      <w:pPr>
        <w:rPr>
          <w:iCs/>
        </w:rPr>
      </w:pPr>
      <w:r>
        <w:rPr>
          <w:noProof/>
          <w:lang w:eastAsia="pl-PL"/>
        </w:rPr>
        <mc:AlternateContent>
          <mc:Choice Requires="wps">
            <w:drawing>
              <wp:anchor distT="0" distB="0" distL="114300" distR="114300" simplePos="0" relativeHeight="251664384" behindDoc="1" locked="0" layoutInCell="1" allowOverlap="1" wp14:anchorId="706FA2EE" wp14:editId="60ED25AA">
                <wp:simplePos x="0" y="0"/>
                <wp:positionH relativeFrom="margin">
                  <wp:align>right</wp:align>
                </wp:positionH>
                <wp:positionV relativeFrom="paragraph">
                  <wp:posOffset>3552923</wp:posOffset>
                </wp:positionV>
                <wp:extent cx="5760000" cy="457200"/>
                <wp:effectExtent l="0" t="0" r="0" b="0"/>
                <wp:wrapNone/>
                <wp:docPr id="2" name="Pole tekstowe 2"/>
                <wp:cNvGraphicFramePr/>
                <a:graphic xmlns:a="http://schemas.openxmlformats.org/drawingml/2006/main">
                  <a:graphicData uri="http://schemas.microsoft.com/office/word/2010/wordprocessingShape">
                    <wps:wsp>
                      <wps:cNvSpPr txBox="1"/>
                      <wps:spPr>
                        <a:xfrm>
                          <a:off x="0" y="0"/>
                          <a:ext cx="5760000" cy="457200"/>
                        </a:xfrm>
                        <a:prstGeom prst="rect">
                          <a:avLst/>
                        </a:prstGeom>
                        <a:solidFill>
                          <a:prstClr val="white"/>
                        </a:solidFill>
                        <a:ln>
                          <a:noFill/>
                        </a:ln>
                      </wps:spPr>
                      <wps:txbx>
                        <w:txbxContent>
                          <w:p w14:paraId="725E4EBB" w14:textId="7D5EA6C0" w:rsidR="00814873" w:rsidRPr="00AB78AE" w:rsidRDefault="00814873" w:rsidP="00C04ED1">
                            <w:pPr>
                              <w:pStyle w:val="Legenda"/>
                              <w:rPr>
                                <w:noProof/>
                                <w:sz w:val="24"/>
                              </w:rPr>
                            </w:pPr>
                            <w:bookmarkStart w:id="30" w:name="_Toc511125944"/>
                            <w:r>
                              <w:t xml:space="preserve">Wykres </w:t>
                            </w:r>
                            <w:r w:rsidR="00876468">
                              <w:fldChar w:fldCharType="begin"/>
                            </w:r>
                            <w:r w:rsidR="00876468">
                              <w:instrText xml:space="preserve"> SEQ Wykres \* ARABIC </w:instrText>
                            </w:r>
                            <w:r w:rsidR="00876468">
                              <w:fldChar w:fldCharType="separate"/>
                            </w:r>
                            <w:r w:rsidR="00E74C5A">
                              <w:rPr>
                                <w:noProof/>
                              </w:rPr>
                              <w:t>16</w:t>
                            </w:r>
                            <w:r w:rsidR="00876468">
                              <w:rPr>
                                <w:noProof/>
                              </w:rPr>
                              <w:fldChar w:fldCharType="end"/>
                            </w:r>
                            <w:r>
                              <w:t xml:space="preserve"> </w:t>
                            </w:r>
                            <w:r w:rsidRPr="00490ABA">
                              <w:t>Problemy pracowników organizacji pozarządowych w opinii liderów</w:t>
                            </w:r>
                            <w:r>
                              <w:t xml:space="preserve"> organizacji jako pracodawców, ź</w:t>
                            </w:r>
                            <w:r w:rsidRPr="00490ABA">
                              <w:t>ródło: Kondycja sektora organizacji pozarządowych w Polsce 2015. Raport z badań, KLON/JAWOR 2016</w:t>
                            </w:r>
                            <w:bookmarkEnd w:id="3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706FA2EE" id="Pole tekstowe 2" o:spid="_x0000_s1027" type="#_x0000_t202" style="position:absolute;left:0;text-align:left;margin-left:402.35pt;margin-top:279.75pt;width:453.55pt;height:36pt;z-index:-25165209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" stroked="f">
                <v:textbox inset="0,0,0,0">
                  <w:txbxContent>
                    <w:p w14:paraId="725E4EBB" w14:textId="7D5EA6C0" w:rsidR="00814873" w:rsidRPr="00AB78AE" w:rsidRDefault="00814873" w:rsidP="00C04ED1">
                      <w:pPr>
                        <w:pStyle w:val="Legenda"/>
                        <w:rPr>
                          <w:noProof/>
                          <w:sz w:val="24"/>
                        </w:rPr>
                      </w:pPr>
                      <w:bookmarkStart w:id="32" w:name="_Toc511125944"/>
                      <w:r>
                        <w:t xml:space="preserve">Wykres </w:t>
                      </w:r>
                      <w:r w:rsidR="00292610">
                        <w:fldChar w:fldCharType="begin"/>
                      </w:r>
                      <w:r w:rsidR="00292610">
                        <w:instrText xml:space="preserve"> SEQ Wykres \* ARABIC </w:instrText>
                      </w:r>
                      <w:r w:rsidR="00292610">
                        <w:fldChar w:fldCharType="separate"/>
                      </w:r>
                      <w:r w:rsidR="00E74C5A">
                        <w:rPr>
                          <w:noProof/>
                        </w:rPr>
                        <w:t>16</w:t>
                      </w:r>
                      <w:r w:rsidR="00292610">
                        <w:rPr>
                          <w:noProof/>
                        </w:rPr>
                        <w:fldChar w:fldCharType="end"/>
                      </w:r>
                      <w:r>
                        <w:t xml:space="preserve"> </w:t>
                      </w:r>
                      <w:r w:rsidRPr="00490ABA">
                        <w:t>Problemy pracowników organizacji pozarządowych w opinii liderów</w:t>
                      </w:r>
                      <w:r>
                        <w:t xml:space="preserve"> organizacji jako pracodawców, ź</w:t>
                      </w:r>
                      <w:r w:rsidRPr="00490ABA">
                        <w:t>ródło: Kondycja sektora organizacji pozarządowych w Polsce 2015. Raport z badań, KLON/JAWOR 2016</w:t>
                      </w:r>
                      <w:bookmarkEnd w:id="32"/>
                    </w:p>
                  </w:txbxContent>
                </v:textbox>
                <w10:wrap anchorx="margin"/>
              </v:shape>
            </w:pict>
          </mc:Fallback>
        </mc:AlternateContent>
      </w:r>
      <w:r w:rsidR="00490ABA" w:rsidRPr="00490ABA">
        <w:rPr>
          <w:iCs/>
        </w:rPr>
        <w:t xml:space="preserve">Sytuację małej atrakcyjności ekonomicznej zatrudnienia w organizacjach pozarządowych (szczególnie wśród profesjonalistów) pogłębia jeszcze fakt sygnalizowanej niestabilności zatrudnienia i dużej rotacji kadr. Jak pokazują badania </w:t>
      </w:r>
      <w:r w:rsidR="00122F76">
        <w:rPr>
          <w:iCs/>
        </w:rPr>
        <w:t xml:space="preserve">Stowarzyszenia </w:t>
      </w:r>
      <w:r w:rsidR="00490ABA" w:rsidRPr="00490ABA">
        <w:rPr>
          <w:iCs/>
        </w:rPr>
        <w:t>KLON/JAWOR</w:t>
      </w:r>
      <w:r w:rsidR="00C04ED1">
        <w:rPr>
          <w:iCs/>
        </w:rPr>
        <w:t>,</w:t>
      </w:r>
      <w:r w:rsidR="00490ABA" w:rsidRPr="00490ABA">
        <w:rPr>
          <w:iCs/>
        </w:rPr>
        <w:t xml:space="preserve"> </w:t>
      </w:r>
      <w:r>
        <w:rPr>
          <w:iCs/>
        </w:rPr>
        <w:br/>
      </w:r>
      <w:r w:rsidR="00490ABA" w:rsidRPr="00490ABA">
        <w:rPr>
          <w:iCs/>
        </w:rPr>
        <w:t xml:space="preserve">26% organizacji w 2015 </w:t>
      </w:r>
      <w:r w:rsidR="00C04ED1" w:rsidRPr="00490ABA">
        <w:rPr>
          <w:iCs/>
        </w:rPr>
        <w:t xml:space="preserve">roku </w:t>
      </w:r>
      <w:r w:rsidR="00490ABA" w:rsidRPr="00490ABA">
        <w:rPr>
          <w:iCs/>
        </w:rPr>
        <w:t xml:space="preserve">dokonywało zmian kadrowych, z czego w połowie przypadków odejścia pracowników były spowodowane zwolnieniami lub nieprzedłużeniem umowy. Dochodzą do tego jeszcze takie niedogodności zatrudnienia, jak wynikający często ze struktury organizacyjnej podmiotów brak możliwości awansu, czy też brak możliwości rozwoju zawodowego. Spośród innych niekorzystnych uwarunkowań zatrudnienia wskazywane </w:t>
      </w:r>
      <w:r>
        <w:rPr>
          <w:iCs/>
        </w:rPr>
        <w:br/>
      </w:r>
      <w:r w:rsidR="00490ABA" w:rsidRPr="00490ABA">
        <w:rPr>
          <w:iCs/>
        </w:rPr>
        <w:t>są również nadmiar i niejasno określony zakres obowiązków (w 45% organizacji z uwagi na małe zasoby kadrowe wymaga się od pracowników</w:t>
      </w:r>
      <w:r w:rsidR="00C04ED1">
        <w:rPr>
          <w:iCs/>
        </w:rPr>
        <w:t>,</w:t>
      </w:r>
      <w:r w:rsidR="00490ABA" w:rsidRPr="00490ABA">
        <w:rPr>
          <w:iCs/>
        </w:rPr>
        <w:t xml:space="preserve"> </w:t>
      </w:r>
      <w:r w:rsidR="00C04ED1">
        <w:rPr>
          <w:iCs/>
        </w:rPr>
        <w:t>a</w:t>
      </w:r>
      <w:r w:rsidR="00490ABA" w:rsidRPr="00490ABA">
        <w:rPr>
          <w:iCs/>
        </w:rPr>
        <w:t xml:space="preserve">by byli specjalistami od wszystkiego i realizowali różnorodne zadania, często w </w:t>
      </w:r>
      <w:r w:rsidR="00D12F24">
        <w:rPr>
          <w:iCs/>
        </w:rPr>
        <w:t>ramach nieodpłatnych nadgodzin</w:t>
      </w:r>
      <w:r w:rsidR="00490ABA" w:rsidRPr="00490ABA">
        <w:rPr>
          <w:iCs/>
        </w:rPr>
        <w:t xml:space="preserve">) oraz niski prestiż pracy </w:t>
      </w:r>
      <w:r>
        <w:rPr>
          <w:iCs/>
        </w:rPr>
        <w:br/>
      </w:r>
      <w:r w:rsidR="00490ABA" w:rsidRPr="00490ABA">
        <w:rPr>
          <w:iCs/>
        </w:rPr>
        <w:t>w sektorze pozarządowym. Wszystkie te czynniki przedstawione w poniższym wykresie maja duży wpływ na motywacje pracownicze i decyzje podjęcia pracy w trzecim sektorze.</w:t>
      </w:r>
    </w:p>
    <w:p w14:paraId="3BCA6FEF" w14:textId="6DF378D6" w:rsidR="00FB7C8D" w:rsidRDefault="005B1925" w:rsidP="00490ABA">
      <w:pPr>
        <w:rPr>
          <w:iCs/>
        </w:rPr>
      </w:pPr>
      <w:r>
        <w:rPr>
          <w:noProof/>
          <w:lang w:eastAsia="pl-PL"/>
        </w:rPr>
        <w:drawing>
          <wp:anchor distT="0" distB="0" distL="114300" distR="114300" simplePos="0" relativeHeight="251660288" behindDoc="1" locked="0" layoutInCell="1" allowOverlap="1" wp14:anchorId="527A1B80" wp14:editId="0038FF1A">
            <wp:simplePos x="0" y="0"/>
            <wp:positionH relativeFrom="margin">
              <wp:posOffset>-1060450</wp:posOffset>
            </wp:positionH>
            <wp:positionV relativeFrom="paragraph">
              <wp:posOffset>345489</wp:posOffset>
            </wp:positionV>
            <wp:extent cx="6817360" cy="2924175"/>
            <wp:effectExtent l="0" t="0" r="2540" b="0"/>
            <wp:wrapNone/>
            <wp:docPr id="16"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14:paraId="1683F923" w14:textId="137AED6F" w:rsidR="00E16CF1" w:rsidRDefault="00E16CF1" w:rsidP="00490ABA">
      <w:pPr>
        <w:rPr>
          <w:iCs/>
        </w:rPr>
      </w:pPr>
    </w:p>
    <w:p w14:paraId="209D19F2" w14:textId="77777777" w:rsidR="00E16CF1" w:rsidRDefault="00E16CF1" w:rsidP="00490ABA">
      <w:pPr>
        <w:rPr>
          <w:iCs/>
        </w:rPr>
      </w:pPr>
    </w:p>
    <w:p w14:paraId="66B04CE0" w14:textId="77777777" w:rsidR="00E16CF1" w:rsidRDefault="00E16CF1" w:rsidP="00490ABA">
      <w:pPr>
        <w:rPr>
          <w:iCs/>
        </w:rPr>
      </w:pPr>
    </w:p>
    <w:p w14:paraId="60ED8C98" w14:textId="77777777" w:rsidR="00E16CF1" w:rsidRDefault="00E16CF1" w:rsidP="00490ABA">
      <w:pPr>
        <w:rPr>
          <w:iCs/>
        </w:rPr>
      </w:pPr>
    </w:p>
    <w:p w14:paraId="2295C143" w14:textId="77777777" w:rsidR="00E16CF1" w:rsidRDefault="00E16CF1" w:rsidP="00490ABA">
      <w:pPr>
        <w:rPr>
          <w:iCs/>
        </w:rPr>
      </w:pPr>
    </w:p>
    <w:p w14:paraId="77A81590" w14:textId="77777777" w:rsidR="00E16CF1" w:rsidRDefault="00E16CF1" w:rsidP="00490ABA">
      <w:pPr>
        <w:rPr>
          <w:iCs/>
        </w:rPr>
      </w:pPr>
    </w:p>
    <w:p w14:paraId="251445BD" w14:textId="77777777" w:rsidR="00E16CF1" w:rsidRDefault="00E16CF1" w:rsidP="00490ABA">
      <w:pPr>
        <w:rPr>
          <w:iCs/>
        </w:rPr>
      </w:pPr>
    </w:p>
    <w:p w14:paraId="0F1788FC" w14:textId="77777777" w:rsidR="00E16CF1" w:rsidRDefault="00E16CF1" w:rsidP="00490ABA">
      <w:pPr>
        <w:rPr>
          <w:iCs/>
        </w:rPr>
      </w:pPr>
    </w:p>
    <w:p w14:paraId="6034EF20" w14:textId="264D1B02" w:rsidR="00490ABA" w:rsidRPr="00490ABA" w:rsidRDefault="00490ABA" w:rsidP="005B1925">
      <w:pPr>
        <w:spacing w:before="240"/>
        <w:rPr>
          <w:iCs/>
        </w:rPr>
      </w:pPr>
      <w:r w:rsidRPr="00490ABA">
        <w:rPr>
          <w:iCs/>
        </w:rPr>
        <w:t xml:space="preserve">Ostatnia z istotnych </w:t>
      </w:r>
      <w:r w:rsidR="00627130" w:rsidRPr="00490ABA">
        <w:rPr>
          <w:iCs/>
        </w:rPr>
        <w:t xml:space="preserve">barier </w:t>
      </w:r>
      <w:r w:rsidR="00627130">
        <w:rPr>
          <w:iCs/>
        </w:rPr>
        <w:t xml:space="preserve">dla </w:t>
      </w:r>
      <w:r w:rsidR="00627130" w:rsidRPr="00490ABA">
        <w:rPr>
          <w:iCs/>
        </w:rPr>
        <w:t xml:space="preserve">rozwoju organizacji </w:t>
      </w:r>
      <w:r w:rsidR="00627130">
        <w:rPr>
          <w:iCs/>
        </w:rPr>
        <w:t xml:space="preserve">w obszarze kapitału ludzkiego </w:t>
      </w:r>
      <w:r w:rsidRPr="00490ABA">
        <w:rPr>
          <w:iCs/>
        </w:rPr>
        <w:t xml:space="preserve">dotyczy samych liderów tychże organizacji. Według badań </w:t>
      </w:r>
      <w:r w:rsidR="00122F76">
        <w:rPr>
          <w:iCs/>
        </w:rPr>
        <w:t xml:space="preserve">Stowarzyszenia </w:t>
      </w:r>
      <w:r w:rsidRPr="00490ABA">
        <w:rPr>
          <w:iCs/>
        </w:rPr>
        <w:t xml:space="preserve">KLON/JAWOR w 2014 </w:t>
      </w:r>
      <w:r w:rsidR="005B1925" w:rsidRPr="00490ABA">
        <w:rPr>
          <w:iCs/>
        </w:rPr>
        <w:t xml:space="preserve">roku </w:t>
      </w:r>
      <w:r w:rsidRPr="00490ABA">
        <w:rPr>
          <w:iCs/>
        </w:rPr>
        <w:t xml:space="preserve">około 36% organizacji </w:t>
      </w:r>
      <w:r w:rsidR="00122F76">
        <w:rPr>
          <w:iCs/>
        </w:rPr>
        <w:t xml:space="preserve">spotkało </w:t>
      </w:r>
      <w:r w:rsidR="00627130">
        <w:rPr>
          <w:iCs/>
        </w:rPr>
        <w:t>się</w:t>
      </w:r>
      <w:r w:rsidRPr="00490ABA">
        <w:rPr>
          <w:iCs/>
        </w:rPr>
        <w:t xml:space="preserve"> z problemem tzw. „wypalenia się” liderów. W porównaniu </w:t>
      </w:r>
      <w:r w:rsidR="005B1925">
        <w:rPr>
          <w:iCs/>
        </w:rPr>
        <w:br/>
      </w:r>
      <w:r w:rsidRPr="00490ABA">
        <w:rPr>
          <w:iCs/>
        </w:rPr>
        <w:t xml:space="preserve">z rokiem 2012 nastąpił tu wzrost o 6%. </w:t>
      </w:r>
      <w:r w:rsidR="00122F76" w:rsidRPr="00122F76">
        <w:rPr>
          <w:iCs/>
        </w:rPr>
        <w:t xml:space="preserve">Równocześnie z tym zjawiskiem można mówić </w:t>
      </w:r>
      <w:r w:rsidR="005B1925">
        <w:rPr>
          <w:iCs/>
        </w:rPr>
        <w:br/>
      </w:r>
      <w:r w:rsidR="00122F76" w:rsidRPr="00122F76">
        <w:rPr>
          <w:iCs/>
        </w:rPr>
        <w:t>o osamotnieniu liderów i zarządów organizacji oraz niskim poziomie fluktuacji kadry przywódczej. W ponad połowie organizacji skład zarządu pozostaje niezmienny od lat, a brak następców członków zarządu jest problemem odczuwalnym dla 40% organizacji. Podczas wyborów do zarządów na rok 2015 w 76% organizacji liczba kandydatów na członków zarządu nie przekraczała liczby miejsc w zarządzie. Bez względu na przyczyny tego zjawiska nie jest ono obojętne dla rozwoju organizacji. Silne przywództwo liderów jest istotnym atrybutem wielu organizacji i nadaje im autorski rys, ale wypalenie się czy też odejście lidera często oznacza koniec działalności lub co najmniej kryzys organizacji. Podobnie może być z zarządem, który pozostaje w niezmienionym składzie tylko dlatego, że nie ma nowych kandydatów. Strategia wzmacniania instytucjonalnego trzeciego sektora nie może pominąć wsparcia i rozwoju liderów oraz kadry zarządzającej, mających często kluczowy wpływ na realny potencjał poszczególnych organizacji.</w:t>
      </w:r>
    </w:p>
    <w:p w14:paraId="69C68D84" w14:textId="77777777" w:rsidR="00490ABA" w:rsidRPr="00490ABA" w:rsidRDefault="00FB7C8D" w:rsidP="00FB7C8D">
      <w:pPr>
        <w:pStyle w:val="Nagwek2"/>
      </w:pPr>
      <w:bookmarkStart w:id="31" w:name="_Toc508718530"/>
      <w:r>
        <w:t xml:space="preserve">2.4. </w:t>
      </w:r>
      <w:r w:rsidR="00490ABA" w:rsidRPr="00490ABA">
        <w:t>Brak współpracy, konflikty i rywalizacja wewnątrz sektora</w:t>
      </w:r>
      <w:bookmarkEnd w:id="31"/>
    </w:p>
    <w:p w14:paraId="012FFA91" w14:textId="2DB0498E" w:rsidR="00490ABA" w:rsidRDefault="007313C9" w:rsidP="00490ABA">
      <w:r>
        <w:t xml:space="preserve">Ważnym zjawiskiem, które determinuje funkcjonowanie organizacji obywatelskich w Polsce jest atomizacja sektora. </w:t>
      </w:r>
      <w:r w:rsidR="00490ABA" w:rsidRPr="00490ABA">
        <w:t>Wśród liderów panuje przekonanie, że w Polsce trudno mówić o istnieniu sektora pozarządowego jako wspólnoty organizacji – istnieją wyłącznie poszczególne organizacje realizujące swoje cele. Takiego zdania</w:t>
      </w:r>
      <w:r w:rsidR="00C04ED1">
        <w:t>,</w:t>
      </w:r>
      <w:r w:rsidR="00490ABA" w:rsidRPr="00490ABA">
        <w:t xml:space="preserve"> jak pokazuje zamieszczone poniżej zestawienie</w:t>
      </w:r>
      <w:r w:rsidR="00C04ED1">
        <w:t>,</w:t>
      </w:r>
      <w:r w:rsidR="00490ABA" w:rsidRPr="00490ABA">
        <w:t xml:space="preserve"> jest 61% liderów</w:t>
      </w:r>
      <w:r w:rsidR="002D6B55">
        <w:t>,</w:t>
      </w:r>
      <w:r w:rsidR="00490ABA" w:rsidRPr="00490ABA">
        <w:t xml:space="preserve"> wobec zaledwie 16% przekonanych o jego jednolitości </w:t>
      </w:r>
      <w:r w:rsidR="005B1925">
        <w:br/>
      </w:r>
      <w:r w:rsidR="00FB7C8D">
        <w:t>i konsolidacji w działaniu.</w:t>
      </w:r>
    </w:p>
    <w:p w14:paraId="1CE033D3" w14:textId="46034E40" w:rsidR="006720EA" w:rsidRDefault="006720EA" w:rsidP="006720EA">
      <w:pPr>
        <w:pStyle w:val="Legenda"/>
        <w:keepNext/>
      </w:pPr>
      <w:bookmarkStart w:id="32" w:name="_Toc511125945"/>
      <w:r>
        <w:lastRenderedPageBreak/>
        <w:t xml:space="preserve">Wykres </w:t>
      </w:r>
      <w:r w:rsidR="00876468">
        <w:fldChar w:fldCharType="begin"/>
      </w:r>
      <w:r w:rsidR="00876468">
        <w:instrText xml:space="preserve"> SEQ Wykres \* ARABIC </w:instrText>
      </w:r>
      <w:r w:rsidR="00876468">
        <w:fldChar w:fldCharType="separate"/>
      </w:r>
      <w:r w:rsidR="00E74C5A">
        <w:rPr>
          <w:noProof/>
        </w:rPr>
        <w:t>17</w:t>
      </w:r>
      <w:r w:rsidR="00876468">
        <w:rPr>
          <w:noProof/>
        </w:rPr>
        <w:fldChar w:fldCharType="end"/>
      </w:r>
      <w:r w:rsidR="005B1925">
        <w:rPr>
          <w:noProof/>
        </w:rPr>
        <w:t>.</w:t>
      </w:r>
      <w:r w:rsidRPr="006720EA">
        <w:t xml:space="preserve"> </w:t>
      </w:r>
      <w:r w:rsidRPr="004D40EF">
        <w:t>Opinie</w:t>
      </w:r>
      <w:r w:rsidRPr="00490ABA">
        <w:t xml:space="preserve"> liderów na temat istnienia wspólnoty organizacji i sensowności tworzenia</w:t>
      </w:r>
      <w:r>
        <w:t xml:space="preserve"> wizji rozwoju całego sektora, ź</w:t>
      </w:r>
      <w:r w:rsidRPr="00490ABA">
        <w:t>ródło: Kondycja sektora organizacji pozarządowych w Polsce 2015. Raport z badań, KLON/JAWOR 2016</w:t>
      </w:r>
      <w:bookmarkEnd w:id="32"/>
    </w:p>
    <w:p w14:paraId="0EC0FB0B" w14:textId="09C7CF74" w:rsidR="00FB7C8D" w:rsidRDefault="004D40EF" w:rsidP="00490ABA">
      <w:r>
        <w:rPr>
          <w:noProof/>
          <w:lang w:eastAsia="pl-PL"/>
        </w:rPr>
        <w:drawing>
          <wp:inline distT="0" distB="0" distL="0" distR="0" wp14:anchorId="516E5249" wp14:editId="0E3CB545">
            <wp:extent cx="5759450" cy="3704493"/>
            <wp:effectExtent l="0" t="0" r="0" b="0"/>
            <wp:docPr id="18"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C6B8C12" w14:textId="558FDE0A" w:rsidR="00490ABA" w:rsidRPr="00490ABA" w:rsidRDefault="00490ABA" w:rsidP="00490ABA">
      <w:r w:rsidRPr="00490ABA">
        <w:t xml:space="preserve">Pomimo </w:t>
      </w:r>
      <w:r w:rsidR="00122F76">
        <w:t xml:space="preserve">że </w:t>
      </w:r>
      <w:r w:rsidRPr="00490ABA">
        <w:t xml:space="preserve">od wielu lat podejmowane są próby tworzenia sieci, budowania partnerstw </w:t>
      </w:r>
      <w:r w:rsidR="00FB7C8D">
        <w:br/>
      </w:r>
      <w:r w:rsidRPr="00490ABA">
        <w:t xml:space="preserve">i organizowania różnego rodzaju wspólnych przedsięwzięć </w:t>
      </w:r>
      <w:r w:rsidR="00F00A60">
        <w:t xml:space="preserve">w ramach sektora obywatelskiego, </w:t>
      </w:r>
      <w:r w:rsidRPr="00490ABA">
        <w:t xml:space="preserve">opinia ta pozostaje wciąż aktualna i problem jednolitości, czy tworzenia wspólnej polityki rozwoju i współpracy jest przedmiotem nieustannych debat środowiska (np. na łamach portalu ngo.pl poświęcone są temu debaty: </w:t>
      </w:r>
      <w:r w:rsidR="00122F76">
        <w:rPr>
          <w:i/>
        </w:rPr>
        <w:t>Czy NGO są wsobne?</w:t>
      </w:r>
      <w:r w:rsidR="00122F76" w:rsidRPr="00122F76">
        <w:t>,</w:t>
      </w:r>
      <w:r w:rsidRPr="00490ABA">
        <w:rPr>
          <w:i/>
        </w:rPr>
        <w:t xml:space="preserve"> NGO kleją społeczeństwo?</w:t>
      </w:r>
      <w:r w:rsidRPr="00490ABA">
        <w:t>)</w:t>
      </w:r>
      <w:r w:rsidRPr="00490ABA">
        <w:rPr>
          <w:vertAlign w:val="superscript"/>
        </w:rPr>
        <w:footnoteReference w:id="11"/>
      </w:r>
      <w:r w:rsidRPr="00490ABA">
        <w:t xml:space="preserve">. Jednym z istotnych elementów wprowadzających napięcia wewnątrz trzeciego sektora jest rywalizacja i konkurencja w zakresie dostępu do ograniczonych zasobów wsparcia finansowego </w:t>
      </w:r>
      <w:r w:rsidR="005B1925">
        <w:br/>
      </w:r>
      <w:r w:rsidRPr="00490ABA">
        <w:t xml:space="preserve">i pozafinansowego. Organizacje </w:t>
      </w:r>
      <w:r w:rsidR="00F00A60">
        <w:t xml:space="preserve">koncentrują się </w:t>
      </w:r>
      <w:r w:rsidRPr="00490ABA">
        <w:t xml:space="preserve">często na </w:t>
      </w:r>
      <w:r w:rsidR="00F00A60">
        <w:t xml:space="preserve">tworzeniu coraz lepszych aplikacji </w:t>
      </w:r>
      <w:r w:rsidR="00F00A60">
        <w:br/>
        <w:t xml:space="preserve">na potrzeby konkursów grantowych, a następnie maksymalnie efektywnej </w:t>
      </w:r>
      <w:r w:rsidRPr="00490ABA">
        <w:t xml:space="preserve">realizacji coraz </w:t>
      </w:r>
      <w:r w:rsidR="00F00A60">
        <w:br/>
      </w:r>
      <w:r w:rsidRPr="00490ABA">
        <w:t xml:space="preserve">to większej liczby projektów i osiąganiu coraz lepszych wskaźników. </w:t>
      </w:r>
      <w:r w:rsidR="00F00A60">
        <w:t xml:space="preserve">W </w:t>
      </w:r>
      <w:r w:rsidR="00C04ED1">
        <w:t xml:space="preserve">2015 </w:t>
      </w:r>
      <w:r w:rsidR="00F00A60">
        <w:t xml:space="preserve">roku </w:t>
      </w:r>
      <w:r w:rsidR="00C04ED1">
        <w:br/>
      </w:r>
      <w:r w:rsidRPr="00490ABA">
        <w:t xml:space="preserve">29% organizacji deklarowało, że przeszkadza im konkurencja ze strony innych organizacji pozarządowych i było to o 7% więcej niż w </w:t>
      </w:r>
      <w:r w:rsidR="00C04ED1" w:rsidRPr="00490ABA">
        <w:t>2012</w:t>
      </w:r>
      <w:r w:rsidRPr="00490ABA">
        <w:t xml:space="preserve">roku. </w:t>
      </w:r>
      <w:r w:rsidR="00122F76">
        <w:t xml:space="preserve">Dla 22% organizacji brak współpracy </w:t>
      </w:r>
      <w:r w:rsidR="00122F76">
        <w:br/>
        <w:t>i konflikty w środowisku stanowiły istotną trudność i w przypadku tego wskaźnika odnotowano wzrost o 5% w odniesieniu do roku 2012.</w:t>
      </w:r>
      <w:r w:rsidRPr="00490ABA">
        <w:t xml:space="preserve"> Opinie te i faktyczne trudności w </w:t>
      </w:r>
      <w:r w:rsidRPr="00490ABA">
        <w:lastRenderedPageBreak/>
        <w:t xml:space="preserve">tworzeniu wzajemnych więzi, partnerstw i współpracy są istotne o tyle, że tak jak w przypadku innych krajów, które osiągnęły wysoki poziom kapitału społecznego, dobra kondycja sektora obywatelskiego była istotnym czynnikiem umacniającym ten kapitał. Sektor pozarządowy ma </w:t>
      </w:r>
      <w:r w:rsidR="00113552">
        <w:br/>
      </w:r>
      <w:r w:rsidRPr="00490ABA">
        <w:t xml:space="preserve">w sobie duży, niewykorzystany dotąd w pełni potencjał na podniesienie skrajnie niskiego dla Polski poziomu wskaźnika kapitału społecznego (20 pozycja w rankingu krajów UE). Wszelkie inicjatywy i wsparcie w budowaniu sieci wzajemnych powiazań, partnerstw i współpracy mogą się niewątpliwie do tego przyczynić, przełamując równocześnie bariery konfliktów, rywalizacji </w:t>
      </w:r>
      <w:r w:rsidR="00F00A60">
        <w:br/>
      </w:r>
      <w:r w:rsidRPr="00490ABA">
        <w:t>i niezdrowej konkurencji.</w:t>
      </w:r>
      <w:r w:rsidR="007313C9">
        <w:t xml:space="preserve"> </w:t>
      </w:r>
    </w:p>
    <w:p w14:paraId="64E9556B" w14:textId="7313156F" w:rsidR="00490ABA" w:rsidRPr="00490ABA" w:rsidRDefault="00F00A60" w:rsidP="00F00A60">
      <w:pPr>
        <w:pStyle w:val="Nagwek2"/>
      </w:pPr>
      <w:bookmarkStart w:id="33" w:name="_Toc508718531"/>
      <w:r>
        <w:t xml:space="preserve">2.5. </w:t>
      </w:r>
      <w:r w:rsidR="00490ABA" w:rsidRPr="00490ABA">
        <w:t xml:space="preserve">Brak </w:t>
      </w:r>
      <w:r w:rsidR="00ED7712">
        <w:t>efektywnych struktur dialogu obywatelskiego</w:t>
      </w:r>
      <w:bookmarkEnd w:id="33"/>
    </w:p>
    <w:p w14:paraId="667EE3A1" w14:textId="2CE010B4" w:rsidR="00490ABA" w:rsidRDefault="00490ABA" w:rsidP="00490ABA">
      <w:r w:rsidRPr="00490ABA">
        <w:rPr>
          <w:i/>
        </w:rPr>
        <w:t>Istotą dialogu obywatelskiego jako rozwiązania instytucjonalnego jest uspołecznienie procesu podejmowania decyzji publicznych przez umożliwienie obywatelom (a zwłaszcza sformalizowanym strukturom reprezentującym obywateli, w tym organizacjom pozarządowym) systematycznego wpływu na proces stanowienia prawa i przygotowywania dokumentów państwowych dotyczących bezpośrednio tychże obywateli</w:t>
      </w:r>
      <w:r w:rsidRPr="00490ABA">
        <w:rPr>
          <w:i/>
          <w:vertAlign w:val="superscript"/>
        </w:rPr>
        <w:footnoteReference w:id="12"/>
      </w:r>
      <w:r w:rsidRPr="00490ABA">
        <w:t xml:space="preserve">. Obok Rady Działalności Pożytku Publicznego (oraz Wojewódzkich Rad Działalności Pożytku Publicznego) do najpowszechniej dostępnych i najważniejszych form dialogu obywatelskiego należą </w:t>
      </w:r>
      <w:r w:rsidR="00122F76">
        <w:t>obecnie</w:t>
      </w:r>
      <w:r w:rsidRPr="00490ABA">
        <w:t xml:space="preserve"> prowadzone przez urzędy administracji publicznej konsultacje oraz funkcjonowanie przy urzędach ciał </w:t>
      </w:r>
      <w:r w:rsidR="005B1925">
        <w:br/>
      </w:r>
      <w:r w:rsidRPr="00490ABA">
        <w:t xml:space="preserve">o charakterze opiniodawczo-doradczym i inicjatywnym. Badania </w:t>
      </w:r>
      <w:r w:rsidR="00122F76">
        <w:t xml:space="preserve">Stowarzyszenia </w:t>
      </w:r>
      <w:r w:rsidRPr="00490ABA">
        <w:t xml:space="preserve">KLON/JAWOR z 2015 </w:t>
      </w:r>
      <w:r w:rsidR="00C04ED1" w:rsidRPr="00490ABA">
        <w:t xml:space="preserve">roku </w:t>
      </w:r>
      <w:r w:rsidRPr="00490ABA">
        <w:t>pokazały, że tylko 39% organizacji uczestniczyło w jakiejkolwiek formie konsultacji uchwał, dokumentów, strategii lub planów przygotowywanych przez samorządy. Spośród tych organizacji, które nie wzięły udziału w żadnych konsultacjach</w:t>
      </w:r>
      <w:r w:rsidR="00252111">
        <w:t xml:space="preserve">, </w:t>
      </w:r>
      <w:r w:rsidR="00122F76" w:rsidRPr="00122F76">
        <w:t xml:space="preserve">40% deklarowało brak wiedzy </w:t>
      </w:r>
      <w:r w:rsidR="005B1925">
        <w:br/>
      </w:r>
      <w:r w:rsidR="00122F76" w:rsidRPr="00122F76">
        <w:t xml:space="preserve">o stworzeniu takiej możliwości. Nie jest to oczywiście zawsze wina samych organizacji, ale podniesienie tego wskaźnika może stać się wyrazem rozwoju instytucjonalnego samych organizacji i umocnieniem ich pozycji w sferze publicznej. Wśród organizacji, które brały udział w konsultacjach, poczucie wpływu na decyzje zapadające w ich rezultacie jest bardzo zróżnicowane i zdania na temat jakości dialogu obywatelskiego w Polsce są podzielone, </w:t>
      </w:r>
      <w:r w:rsidR="005B1925">
        <w:br/>
      </w:r>
      <w:r w:rsidR="00122F76" w:rsidRPr="00122F76">
        <w:t>co pokazuje zestawienie poniżej.</w:t>
      </w:r>
    </w:p>
    <w:p w14:paraId="6CD840D4" w14:textId="4526B327" w:rsidR="00C04ED1" w:rsidRDefault="00C04ED1" w:rsidP="00C04ED1">
      <w:pPr>
        <w:pStyle w:val="Legenda"/>
        <w:keepNext/>
      </w:pPr>
      <w:bookmarkStart w:id="34" w:name="_Toc511125946"/>
      <w:r>
        <w:lastRenderedPageBreak/>
        <w:t xml:space="preserve">Wykres </w:t>
      </w:r>
      <w:r w:rsidR="00876468">
        <w:fldChar w:fldCharType="begin"/>
      </w:r>
      <w:r w:rsidR="00876468">
        <w:instrText xml:space="preserve"> SEQ Wykres \* ARABIC </w:instrText>
      </w:r>
      <w:r w:rsidR="00876468">
        <w:fldChar w:fldCharType="separate"/>
      </w:r>
      <w:r w:rsidR="00E74C5A">
        <w:rPr>
          <w:noProof/>
        </w:rPr>
        <w:t>18</w:t>
      </w:r>
      <w:r w:rsidR="00876468">
        <w:rPr>
          <w:noProof/>
        </w:rPr>
        <w:fldChar w:fldCharType="end"/>
      </w:r>
      <w:r w:rsidR="005B1925">
        <w:rPr>
          <w:noProof/>
        </w:rPr>
        <w:t>.</w:t>
      </w:r>
      <w:r w:rsidRPr="00C04ED1">
        <w:t xml:space="preserve"> </w:t>
      </w:r>
      <w:r w:rsidRPr="004D40EF">
        <w:t>Opinie o efektach konsultacji z samorządem lokalnym, źródło: Kondycja sektora organizacji pozarządowych w Polsce 2015. Raport z badań, KLON/JAWOR 2016</w:t>
      </w:r>
      <w:bookmarkEnd w:id="34"/>
    </w:p>
    <w:p w14:paraId="4FCDC98C" w14:textId="06EA1B39" w:rsidR="004D40EF" w:rsidRPr="004D40EF" w:rsidRDefault="004D40EF" w:rsidP="004D40EF">
      <w:r>
        <w:rPr>
          <w:noProof/>
          <w:lang w:eastAsia="pl-PL"/>
        </w:rPr>
        <w:drawing>
          <wp:inline distT="0" distB="0" distL="0" distR="0" wp14:anchorId="5E2310DA" wp14:editId="6B38B2E8">
            <wp:extent cx="5759450" cy="2657230"/>
            <wp:effectExtent l="0" t="0" r="0" b="0"/>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38CB489" w14:textId="1CF07806" w:rsidR="00490ABA" w:rsidRDefault="00490ABA" w:rsidP="00490ABA">
      <w:r w:rsidRPr="00490ABA">
        <w:t xml:space="preserve">Także kwestia jakości i skuteczności konsultacji jest zjawiskiem wieloaspektowym, ale dążenie organizacji do większego wpływu na kształtowanie polityk państwa i polityk lokalnych jest wyrazem instytucjonalnej dojrzałości i zdolności do artykułowania potrzeb społecznych. Według statystyk prowadzonych przez Ministerstwo Rodziny, Pracy i Polityki Społecznej </w:t>
      </w:r>
      <w:r w:rsidR="004E55A5">
        <w:br/>
      </w:r>
      <w:r w:rsidRPr="00490ABA">
        <w:t>w 2014 roku 1</w:t>
      </w:r>
      <w:r w:rsidR="004E55A5">
        <w:t> </w:t>
      </w:r>
      <w:r w:rsidRPr="00490ABA">
        <w:t>288 urzędów administracji publicznej skonsultowało 4</w:t>
      </w:r>
      <w:r w:rsidR="004E55A5">
        <w:t> </w:t>
      </w:r>
      <w:r w:rsidRPr="00490ABA">
        <w:t xml:space="preserve">913 projektów aktów prawnych lub dokumentów programowych i strategicznych, </w:t>
      </w:r>
      <w:r w:rsidR="004E55A5">
        <w:t xml:space="preserve">natomiast </w:t>
      </w:r>
      <w:r w:rsidRPr="00490ABA">
        <w:t xml:space="preserve">w 2015 </w:t>
      </w:r>
      <w:r w:rsidR="004E55A5" w:rsidRPr="00490ABA">
        <w:t xml:space="preserve">roku </w:t>
      </w:r>
      <w:r w:rsidRPr="00490ABA">
        <w:t xml:space="preserve">było </w:t>
      </w:r>
      <w:r w:rsidR="00E3385A">
        <w:br/>
      </w:r>
      <w:r w:rsidRPr="00490ABA">
        <w:t>to odpowiednio 1</w:t>
      </w:r>
      <w:r w:rsidR="004E55A5">
        <w:t> </w:t>
      </w:r>
      <w:r w:rsidRPr="00490ABA">
        <w:t>159 urzędów i 9</w:t>
      </w:r>
      <w:r w:rsidR="004E55A5">
        <w:t> </w:t>
      </w:r>
      <w:r w:rsidRPr="00490ABA">
        <w:t>105 dokumentów.</w:t>
      </w:r>
    </w:p>
    <w:p w14:paraId="4F522F11" w14:textId="0CF131CB" w:rsidR="00A60140" w:rsidRDefault="00A60140" w:rsidP="00A60140">
      <w:pPr>
        <w:pStyle w:val="Legenda"/>
        <w:keepNext/>
      </w:pPr>
      <w:bookmarkStart w:id="35" w:name="_Toc511125947"/>
      <w:r>
        <w:lastRenderedPageBreak/>
        <w:t xml:space="preserve">Wykres </w:t>
      </w:r>
      <w:r w:rsidR="00876468">
        <w:fldChar w:fldCharType="begin"/>
      </w:r>
      <w:r w:rsidR="00876468">
        <w:instrText xml:space="preserve"> SEQ Wykres \* ARABIC </w:instrText>
      </w:r>
      <w:r w:rsidR="00876468">
        <w:fldChar w:fldCharType="separate"/>
      </w:r>
      <w:r w:rsidR="00E74C5A">
        <w:rPr>
          <w:noProof/>
        </w:rPr>
        <w:t>19</w:t>
      </w:r>
      <w:r w:rsidR="00876468">
        <w:rPr>
          <w:noProof/>
        </w:rPr>
        <w:fldChar w:fldCharType="end"/>
      </w:r>
      <w:r w:rsidR="00E3385A">
        <w:rPr>
          <w:noProof/>
        </w:rPr>
        <w:t>.</w:t>
      </w:r>
      <w:r w:rsidRPr="00A60140">
        <w:t xml:space="preserve"> </w:t>
      </w:r>
      <w:r w:rsidRPr="00490ABA">
        <w:t xml:space="preserve">Formy prowadzenia konsultacji przez urzędy administracji publicznej w 2015 r., </w:t>
      </w:r>
      <w:r>
        <w:t>ź</w:t>
      </w:r>
      <w:r w:rsidRPr="00490ABA">
        <w:t xml:space="preserve">ródło: Opracowanie </w:t>
      </w:r>
      <w:proofErr w:type="spellStart"/>
      <w:r w:rsidRPr="00490ABA">
        <w:t>MRPiPS</w:t>
      </w:r>
      <w:proofErr w:type="spellEnd"/>
      <w:r w:rsidRPr="00490ABA">
        <w:t xml:space="preserve"> - Sprawozdanie z funkcjonowania ustawy o działalności pożytku publicznego i o wolontariacie za lata 2014 i 2015, </w:t>
      </w:r>
      <w:proofErr w:type="spellStart"/>
      <w:r w:rsidRPr="00490ABA">
        <w:t>MRPiPS</w:t>
      </w:r>
      <w:proofErr w:type="spellEnd"/>
      <w:r w:rsidRPr="00490ABA">
        <w:t xml:space="preserve"> 2016</w:t>
      </w:r>
      <w:bookmarkEnd w:id="35"/>
    </w:p>
    <w:p w14:paraId="1EC523CC" w14:textId="42842FA1" w:rsidR="00D67F91" w:rsidRDefault="004D40EF" w:rsidP="00490ABA">
      <w:r>
        <w:rPr>
          <w:noProof/>
          <w:lang w:eastAsia="pl-PL"/>
        </w:rPr>
        <w:drawing>
          <wp:inline distT="0" distB="0" distL="0" distR="0" wp14:anchorId="64241DA9" wp14:editId="6CC3C1C2">
            <wp:extent cx="5759450" cy="3829538"/>
            <wp:effectExtent l="0" t="0" r="0" b="0"/>
            <wp:docPr id="33" name="Wykres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FDA9A9A" w14:textId="6DD55453" w:rsidR="00490ABA" w:rsidRPr="00490ABA" w:rsidRDefault="00490ABA" w:rsidP="00490ABA">
      <w:r w:rsidRPr="00490ABA">
        <w:t xml:space="preserve">Liczba </w:t>
      </w:r>
      <w:r w:rsidR="00A60140">
        <w:rPr>
          <w:sz w:val="23"/>
          <w:szCs w:val="23"/>
        </w:rPr>
        <w:t xml:space="preserve">wspólnych zespołów o charakterze doradczym i inicjatywnym </w:t>
      </w:r>
      <w:r w:rsidRPr="00490ABA">
        <w:t>przy urzędach nie jest wysoka</w:t>
      </w:r>
      <w:r w:rsidR="00A60140">
        <w:t>,</w:t>
      </w:r>
      <w:r w:rsidRPr="00490ABA">
        <w:t xml:space="preserve"> biorąc pod uwagę rozległość i różnorodność zagadnień </w:t>
      </w:r>
      <w:r w:rsidR="00A60140">
        <w:t xml:space="preserve">mogących leżeć </w:t>
      </w:r>
      <w:r w:rsidRPr="00490ABA">
        <w:t>w zakresie ich działania.</w:t>
      </w:r>
    </w:p>
    <w:p w14:paraId="70A360FF" w14:textId="4D9796F0" w:rsidR="00A60140" w:rsidRDefault="00A60140" w:rsidP="00A60140">
      <w:pPr>
        <w:pStyle w:val="Legenda"/>
        <w:keepNext/>
      </w:pPr>
      <w:bookmarkStart w:id="36" w:name="_Toc511125948"/>
      <w:r>
        <w:t xml:space="preserve">Wykres </w:t>
      </w:r>
      <w:r w:rsidR="00876468">
        <w:fldChar w:fldCharType="begin"/>
      </w:r>
      <w:r w:rsidR="00876468">
        <w:instrText xml:space="preserve"> SEQ Wykres \* ARABIC </w:instrText>
      </w:r>
      <w:r w:rsidR="00876468">
        <w:fldChar w:fldCharType="separate"/>
      </w:r>
      <w:r w:rsidR="00E74C5A">
        <w:rPr>
          <w:noProof/>
        </w:rPr>
        <w:t>20</w:t>
      </w:r>
      <w:r w:rsidR="00876468">
        <w:rPr>
          <w:noProof/>
        </w:rPr>
        <w:fldChar w:fldCharType="end"/>
      </w:r>
      <w:r w:rsidR="00E3385A">
        <w:rPr>
          <w:noProof/>
        </w:rPr>
        <w:t>.</w:t>
      </w:r>
      <w:r w:rsidRPr="00A60140">
        <w:t xml:space="preserve"> </w:t>
      </w:r>
      <w:r w:rsidRPr="00490ABA">
        <w:t>Liczba zespołów funkcjonujących przy urzę</w:t>
      </w:r>
      <w:r>
        <w:t>dach administracji publicznej. ź</w:t>
      </w:r>
      <w:r w:rsidRPr="00490ABA">
        <w:t xml:space="preserve">ródło: Opracowanie </w:t>
      </w:r>
      <w:proofErr w:type="spellStart"/>
      <w:r w:rsidRPr="00490ABA">
        <w:t>MRPiPS</w:t>
      </w:r>
      <w:proofErr w:type="spellEnd"/>
      <w:r w:rsidRPr="00490ABA">
        <w:t xml:space="preserve"> - Sprawozdanie z funkcjonowania ustawy o działalności pożytku publicznego i o wolontariacie za lata 2014 i 2015, </w:t>
      </w:r>
      <w:proofErr w:type="spellStart"/>
      <w:r w:rsidRPr="00490ABA">
        <w:t>MRPiPS</w:t>
      </w:r>
      <w:proofErr w:type="spellEnd"/>
      <w:r w:rsidRPr="00490ABA">
        <w:t xml:space="preserve"> 2016</w:t>
      </w:r>
      <w:bookmarkEnd w:id="36"/>
    </w:p>
    <w:p w14:paraId="588EE14F" w14:textId="46BD9B33" w:rsidR="006F1411" w:rsidRDefault="004D40EF" w:rsidP="00490ABA">
      <w:r>
        <w:rPr>
          <w:noProof/>
          <w:lang w:eastAsia="pl-PL"/>
        </w:rPr>
        <w:drawing>
          <wp:inline distT="0" distB="0" distL="0" distR="0" wp14:anchorId="72F7E078" wp14:editId="544BBEF1">
            <wp:extent cx="5759450" cy="2735385"/>
            <wp:effectExtent l="0" t="0" r="0" b="8255"/>
            <wp:docPr id="21"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145B025" w14:textId="638EEA24" w:rsidR="006F1411" w:rsidRDefault="00490ABA" w:rsidP="00490ABA">
      <w:r w:rsidRPr="00490ABA">
        <w:lastRenderedPageBreak/>
        <w:t xml:space="preserve">Średnia liczba zespołów doradczych i inicjatywnych przypadających na jeden urząd według danych </w:t>
      </w:r>
      <w:proofErr w:type="spellStart"/>
      <w:r w:rsidRPr="00490ABA">
        <w:t>MRPiPS</w:t>
      </w:r>
      <w:proofErr w:type="spellEnd"/>
      <w:r w:rsidRPr="00490ABA">
        <w:t xml:space="preserve"> z roku 2015 w przypadku administracji rządowej </w:t>
      </w:r>
      <w:r w:rsidR="00A60140">
        <w:t xml:space="preserve">wynosi </w:t>
      </w:r>
      <w:r w:rsidRPr="00490ABA">
        <w:t xml:space="preserve">4,7, a w przypadku administracji samorządowej 3,5. Oczywiście </w:t>
      </w:r>
      <w:r w:rsidR="00A60140">
        <w:t xml:space="preserve">liczba </w:t>
      </w:r>
      <w:r w:rsidRPr="00490ABA">
        <w:t xml:space="preserve">zespołów nie świadczy jeszcze o jakości dialogu czy konsultacji, niemniej </w:t>
      </w:r>
      <w:r w:rsidR="00830967">
        <w:t xml:space="preserve">jednak </w:t>
      </w:r>
      <w:r w:rsidRPr="00490ABA">
        <w:t xml:space="preserve">ich istnienie i intensywność spotkań jest wyrazem instytucjonalnej siły </w:t>
      </w:r>
      <w:r w:rsidR="00A60140">
        <w:t xml:space="preserve">oraz </w:t>
      </w:r>
      <w:r w:rsidRPr="00490ABA">
        <w:t xml:space="preserve">dojrzałości organizacji pozarządowych w kształtowaniu współpracy </w:t>
      </w:r>
      <w:r w:rsidR="003B1067">
        <w:br/>
      </w:r>
      <w:r w:rsidRPr="00490ABA">
        <w:t>z admin</w:t>
      </w:r>
      <w:r w:rsidR="00A60140">
        <w:t>istracją rządową i samorządową.</w:t>
      </w:r>
    </w:p>
    <w:p w14:paraId="7218BCE1" w14:textId="4099ABA0" w:rsidR="00490ABA" w:rsidRPr="00490ABA" w:rsidRDefault="006F1411" w:rsidP="00490ABA">
      <w:pPr>
        <w:rPr>
          <w:iCs/>
        </w:rPr>
      </w:pPr>
      <w:r>
        <w:t xml:space="preserve">Konieczna jest </w:t>
      </w:r>
      <w:r w:rsidR="003B1067">
        <w:t xml:space="preserve">głębsza analiza w obszarze </w:t>
      </w:r>
      <w:r w:rsidR="003B1067" w:rsidRPr="00490ABA">
        <w:rPr>
          <w:iCs/>
        </w:rPr>
        <w:t xml:space="preserve">zasad </w:t>
      </w:r>
      <w:r w:rsidR="003B1067">
        <w:rPr>
          <w:iCs/>
        </w:rPr>
        <w:t xml:space="preserve">i form </w:t>
      </w:r>
      <w:r w:rsidR="003B1067" w:rsidRPr="00490ABA">
        <w:rPr>
          <w:iCs/>
        </w:rPr>
        <w:t>prowadzenia dialogu obywatelskiego</w:t>
      </w:r>
      <w:r w:rsidR="003B1067">
        <w:t xml:space="preserve"> zarówno w wymiarze instytucjonalnym, jak i jakościowym czy merytorycznym. Chodzi tu </w:t>
      </w:r>
      <w:r w:rsidR="00E3385A">
        <w:br/>
      </w:r>
      <w:r w:rsidR="003B1067">
        <w:t xml:space="preserve">o </w:t>
      </w:r>
      <w:r w:rsidR="00490ABA" w:rsidRPr="00490ABA">
        <w:rPr>
          <w:iCs/>
        </w:rPr>
        <w:t>z</w:t>
      </w:r>
      <w:r w:rsidR="003B1067">
        <w:rPr>
          <w:iCs/>
        </w:rPr>
        <w:t>apewnienie możliwie</w:t>
      </w:r>
      <w:r w:rsidR="00490ABA" w:rsidRPr="00490ABA">
        <w:rPr>
          <w:iCs/>
        </w:rPr>
        <w:t xml:space="preserve"> szeroki</w:t>
      </w:r>
      <w:r w:rsidR="003B1067">
        <w:rPr>
          <w:iCs/>
        </w:rPr>
        <w:t>ego</w:t>
      </w:r>
      <w:r w:rsidR="00490ABA" w:rsidRPr="00490ABA">
        <w:rPr>
          <w:iCs/>
        </w:rPr>
        <w:t xml:space="preserve"> dostęp</w:t>
      </w:r>
      <w:r w:rsidR="003B1067">
        <w:rPr>
          <w:iCs/>
        </w:rPr>
        <w:t>u</w:t>
      </w:r>
      <w:r w:rsidR="00490ABA" w:rsidRPr="00490ABA">
        <w:rPr>
          <w:iCs/>
        </w:rPr>
        <w:t xml:space="preserve"> </w:t>
      </w:r>
      <w:r w:rsidR="003B1067">
        <w:rPr>
          <w:iCs/>
        </w:rPr>
        <w:t xml:space="preserve">organizacji obywatelskich </w:t>
      </w:r>
      <w:r w:rsidR="00490ABA" w:rsidRPr="00490ABA">
        <w:rPr>
          <w:iCs/>
        </w:rPr>
        <w:t xml:space="preserve">do </w:t>
      </w:r>
      <w:r w:rsidR="003B1067">
        <w:rPr>
          <w:iCs/>
        </w:rPr>
        <w:t xml:space="preserve">struktur dialogu, które będą </w:t>
      </w:r>
      <w:r w:rsidR="003147F4">
        <w:rPr>
          <w:iCs/>
        </w:rPr>
        <w:t xml:space="preserve">jednocześnie </w:t>
      </w:r>
      <w:r w:rsidR="003B1067">
        <w:rPr>
          <w:iCs/>
        </w:rPr>
        <w:t>gwarantowały efektywność</w:t>
      </w:r>
      <w:r w:rsidR="00490ABA" w:rsidRPr="00490ABA">
        <w:rPr>
          <w:iCs/>
        </w:rPr>
        <w:t xml:space="preserve"> </w:t>
      </w:r>
      <w:r w:rsidR="003147F4">
        <w:rPr>
          <w:iCs/>
        </w:rPr>
        <w:t xml:space="preserve">tych </w:t>
      </w:r>
      <w:r w:rsidR="00360EB9">
        <w:rPr>
          <w:iCs/>
        </w:rPr>
        <w:t>procesów</w:t>
      </w:r>
      <w:r w:rsidR="00490ABA" w:rsidRPr="00490ABA">
        <w:rPr>
          <w:iCs/>
        </w:rPr>
        <w:t xml:space="preserve">. </w:t>
      </w:r>
      <w:r w:rsidR="003B1067">
        <w:t xml:space="preserve">Na </w:t>
      </w:r>
      <w:r w:rsidR="003B1067">
        <w:rPr>
          <w:iCs/>
        </w:rPr>
        <w:t>konieczność</w:t>
      </w:r>
      <w:r w:rsidR="00490ABA" w:rsidRPr="00490ABA">
        <w:rPr>
          <w:iCs/>
        </w:rPr>
        <w:t xml:space="preserve"> nowych rozwiązań w zakresie dialogu obywatelskiego </w:t>
      </w:r>
      <w:r w:rsidR="003B1067">
        <w:rPr>
          <w:iCs/>
        </w:rPr>
        <w:t xml:space="preserve">wskazują opinie </w:t>
      </w:r>
      <w:r w:rsidR="00490ABA" w:rsidRPr="00490ABA">
        <w:rPr>
          <w:iCs/>
        </w:rPr>
        <w:t>ekspertów z zespołu działającego przy Pełnomocniku Rządu d</w:t>
      </w:r>
      <w:r w:rsidR="00077467">
        <w:rPr>
          <w:iCs/>
        </w:rPr>
        <w:t xml:space="preserve">o spraw </w:t>
      </w:r>
      <w:r w:rsidR="00490ABA" w:rsidRPr="00490ABA">
        <w:rPr>
          <w:iCs/>
        </w:rPr>
        <w:t>społeczeństwa obywatelskiego oraz Strategicznej Mapy Drogowej Rozwoju Sektora Obywatelskiego w Polsce, według których potrzebna jest instytucjonalna fo</w:t>
      </w:r>
      <w:r w:rsidR="00830967">
        <w:rPr>
          <w:iCs/>
        </w:rPr>
        <w:t>rma Rady Dialogu Obywatelskiego.</w:t>
      </w:r>
      <w:r w:rsidR="00490ABA" w:rsidRPr="00490ABA">
        <w:rPr>
          <w:iCs/>
        </w:rPr>
        <w:t xml:space="preserve"> </w:t>
      </w:r>
      <w:r w:rsidR="00830967">
        <w:rPr>
          <w:iCs/>
        </w:rPr>
        <w:t xml:space="preserve">Jej </w:t>
      </w:r>
      <w:r w:rsidR="00490ABA" w:rsidRPr="00490ABA">
        <w:rPr>
          <w:iCs/>
        </w:rPr>
        <w:t xml:space="preserve">zadaniem byłoby wypracowanie </w:t>
      </w:r>
      <w:r w:rsidR="00783F00">
        <w:rPr>
          <w:iCs/>
        </w:rPr>
        <w:br/>
      </w:r>
      <w:r w:rsidR="00490ABA" w:rsidRPr="00490ABA">
        <w:rPr>
          <w:iCs/>
        </w:rPr>
        <w:t>i monitorowanie wdrażania instytucjonalno-prawnych rozwiązań i standardów w zakresie prowadzenia dialogu obywatelskiego umożliwiającego rzeczywistą partycypację gwarantowaną obywatelom i organizacjom obywatelskim w Konstytucji RP.</w:t>
      </w:r>
    </w:p>
    <w:p w14:paraId="3A12EF69" w14:textId="7F7BA4D2" w:rsidR="00F07A56" w:rsidRDefault="00ED7712" w:rsidP="00360EB9">
      <w:pPr>
        <w:pStyle w:val="Nagwek2"/>
      </w:pPr>
      <w:bookmarkStart w:id="37" w:name="_Toc508718532"/>
      <w:r>
        <w:t>2.6. Niski</w:t>
      </w:r>
      <w:r w:rsidR="00360EB9">
        <w:t xml:space="preserve"> potencjał </w:t>
      </w:r>
      <w:r>
        <w:t>mediów obywatels</w:t>
      </w:r>
      <w:r w:rsidR="00A60140">
        <w:t xml:space="preserve">kich, organizacji strażniczych i </w:t>
      </w:r>
      <w:proofErr w:type="spellStart"/>
      <w:r>
        <w:t>think</w:t>
      </w:r>
      <w:proofErr w:type="spellEnd"/>
      <w:r>
        <w:t xml:space="preserve"> tanków</w:t>
      </w:r>
      <w:bookmarkEnd w:id="37"/>
    </w:p>
    <w:p w14:paraId="511F1178" w14:textId="1AA2633F" w:rsidR="00360EB9" w:rsidRDefault="00DD40A1" w:rsidP="00360EB9">
      <w:r>
        <w:t>Funkcje kontrolne wobec administracji publicznej, a także zaangażowanie w procesy decyzyjne oraz stanowienie prawa</w:t>
      </w:r>
      <w:r w:rsidR="00830967">
        <w:t>,</w:t>
      </w:r>
      <w:r>
        <w:t xml:space="preserve"> zarówno na poziomie lokalnym, jak i krajowym są niezwykle ważnym obszarem aktywności obywatelskiej. Jednocześnie organizacje działające w tych obszarach </w:t>
      </w:r>
      <w:r>
        <w:br/>
        <w:t xml:space="preserve">są z jednej strony bardzo nieliczne, z drugiej zaś strony najczęściej nie dysponują trwałym potencjałem instytucjonalnym dla systematycznej realizacji swoich celów. </w:t>
      </w:r>
      <w:r w:rsidR="0085637A">
        <w:t>W</w:t>
      </w:r>
      <w:r>
        <w:t xml:space="preserve"> odniesieniu </w:t>
      </w:r>
      <w:r w:rsidR="005E06A7">
        <w:br/>
      </w:r>
      <w:r>
        <w:t xml:space="preserve">do mediów obywatelskich </w:t>
      </w:r>
      <w:r w:rsidR="0085637A">
        <w:t xml:space="preserve">można wręcz mówić o regresie – nie funkcjonują obecnie żadne trwałe sieci </w:t>
      </w:r>
      <w:r w:rsidR="00712626">
        <w:t xml:space="preserve">czy fora </w:t>
      </w:r>
      <w:r w:rsidR="0085637A">
        <w:t>wymiany informacji i doświadczeń</w:t>
      </w:r>
      <w:r w:rsidR="00712626">
        <w:t xml:space="preserve"> dziennikarzy obywatelskich</w:t>
      </w:r>
      <w:r w:rsidR="0085637A">
        <w:t xml:space="preserve">, </w:t>
      </w:r>
      <w:r w:rsidR="00712626">
        <w:t xml:space="preserve">a </w:t>
      </w:r>
      <w:r w:rsidR="0085637A">
        <w:t>liczba tytułów wydawanych regularnie spada</w:t>
      </w:r>
      <w:r w:rsidR="00712626">
        <w:t>. Równocześnie aktywność internetowa dziennikarzy obywatelskich w formie blogów czy niezależnych lokalnych portali jest często nieregularna, krótkotrwała, charakteryz</w:t>
      </w:r>
      <w:r w:rsidR="00A60140">
        <w:t>uje się brakami „warsztatowymi”.</w:t>
      </w:r>
      <w:r w:rsidR="00712626">
        <w:t xml:space="preserve"> </w:t>
      </w:r>
      <w:r w:rsidR="00A60140">
        <w:t xml:space="preserve">W </w:t>
      </w:r>
      <w:r w:rsidR="00712626">
        <w:t xml:space="preserve">konsekwencji w niewielkim </w:t>
      </w:r>
      <w:r w:rsidR="00712626">
        <w:lastRenderedPageBreak/>
        <w:t xml:space="preserve">tylko stopniu może </w:t>
      </w:r>
      <w:r w:rsidR="00A60140">
        <w:t xml:space="preserve">ona </w:t>
      </w:r>
      <w:r w:rsidR="00712626">
        <w:t>skutecznie osiągać pożądane oddziaływania</w:t>
      </w:r>
      <w:r w:rsidR="009113D5">
        <w:t xml:space="preserve"> w zakresie kontroli i wzrostu przejrzystości lokalnej polityki oraz budować trwałe grupy odbiorców</w:t>
      </w:r>
      <w:r w:rsidR="00712626">
        <w:t>.</w:t>
      </w:r>
    </w:p>
    <w:p w14:paraId="16D1EFC2" w14:textId="2B7D38D7" w:rsidR="0076672D" w:rsidRDefault="00712626" w:rsidP="00360EB9">
      <w:r>
        <w:t xml:space="preserve">Ważnym aspektem na poziomie lokalnym </w:t>
      </w:r>
      <w:r w:rsidR="00D0553C">
        <w:t xml:space="preserve">w odniesieniu do organizacji strażniczych i mediów obywatelskich </w:t>
      </w:r>
      <w:r>
        <w:t xml:space="preserve">jest </w:t>
      </w:r>
      <w:r w:rsidR="00D0553C">
        <w:t xml:space="preserve">dostępność finansowania. Utrwalony i powszechny model finansowania organizacji obywatelskich </w:t>
      </w:r>
      <w:r w:rsidR="006877BF">
        <w:t xml:space="preserve">w ramach </w:t>
      </w:r>
      <w:r w:rsidR="00D0553C">
        <w:t>system</w:t>
      </w:r>
      <w:r w:rsidR="00A60140">
        <w:t>u</w:t>
      </w:r>
      <w:r w:rsidR="00D0553C">
        <w:t xml:space="preserve"> zlecania zadań publicznych przez organy </w:t>
      </w:r>
      <w:r w:rsidR="006877BF">
        <w:t>a</w:t>
      </w:r>
      <w:r w:rsidR="00A60140">
        <w:t xml:space="preserve">dministracji publicznej oddziałuje </w:t>
      </w:r>
      <w:r w:rsidR="006877BF">
        <w:t>na rzeczywistą wartość działania zarówno lokalnych organizacji strażniczych</w:t>
      </w:r>
      <w:r w:rsidR="00850E47">
        <w:t>,</w:t>
      </w:r>
      <w:r w:rsidR="006877BF">
        <w:t xml:space="preserve"> jak i mediów obywatelskich. Finansowanie pociąga za sobą bowiem pewien poziom zależności, co w oczywisty sposób stoi w sprzeczności z funkcjami kontrolnymi, które mają realizować tego typu organizacje. </w:t>
      </w:r>
      <w:r w:rsidR="005C216B">
        <w:t>Równocześnie działalność strażnicza w różnych formach musi mieć z natury rzeczy charakter systematyczny</w:t>
      </w:r>
      <w:r w:rsidR="00850E47">
        <w:t xml:space="preserve"> i</w:t>
      </w:r>
      <w:r w:rsidR="005C216B">
        <w:t xml:space="preserve"> ciągły, co powoduje, że lokalnym organizacjom </w:t>
      </w:r>
      <w:r w:rsidR="00830967">
        <w:t>funkcjonującym</w:t>
      </w:r>
      <w:r w:rsidR="005C216B">
        <w:t xml:space="preserve"> w tych obszarach trudno jest pozyskiwać środki grantowe </w:t>
      </w:r>
      <w:r w:rsidR="00E3385A">
        <w:br/>
      </w:r>
      <w:r w:rsidR="005C216B">
        <w:t xml:space="preserve">w ramach programów ogólnopolskich, które premiują konkretne projekty </w:t>
      </w:r>
      <w:r w:rsidR="00D74073">
        <w:t xml:space="preserve">oraz osiąganie konkretnych rezultatów w konkretnym czasie. </w:t>
      </w:r>
      <w:r w:rsidR="0076672D">
        <w:t xml:space="preserve">Również </w:t>
      </w:r>
      <w:proofErr w:type="spellStart"/>
      <w:r w:rsidR="0076672D">
        <w:t>think</w:t>
      </w:r>
      <w:proofErr w:type="spellEnd"/>
      <w:r w:rsidR="0076672D">
        <w:t xml:space="preserve"> tanki obywatelskie stają wobec barier strukturalnych takich jak dominacja grantów celowych w systemie </w:t>
      </w:r>
      <w:r w:rsidR="003652C8">
        <w:t xml:space="preserve">finansowania, zamknięty system procesów decyzyjnych, nieufność władzy publicznej w odniesieniu </w:t>
      </w:r>
      <w:r w:rsidR="00E3385A">
        <w:br/>
      </w:r>
      <w:r w:rsidR="003652C8">
        <w:t>do podmiotów prywatnych.</w:t>
      </w:r>
    </w:p>
    <w:p w14:paraId="4C849979" w14:textId="375BCD1E" w:rsidR="00B2612B" w:rsidRDefault="006877BF" w:rsidP="00360EB9">
      <w:r>
        <w:t>Dodatkowo</w:t>
      </w:r>
      <w:r w:rsidR="003652C8">
        <w:t xml:space="preserve"> </w:t>
      </w:r>
      <w:r>
        <w:t xml:space="preserve">śledzenie </w:t>
      </w:r>
      <w:r w:rsidR="008308A6">
        <w:t xml:space="preserve">procesów decyzyjnych i krytyczna analiza działań instytucji publicznych </w:t>
      </w:r>
      <w:r w:rsidR="005E06A7">
        <w:br/>
      </w:r>
      <w:r w:rsidR="008308A6">
        <w:t xml:space="preserve">w naturalny sposób powoduje brak przychylności lokalnych struktur władzy, a w niektórych wręcz przypadkach </w:t>
      </w:r>
      <w:r w:rsidR="00FB0304">
        <w:t>stwarzanie barier</w:t>
      </w:r>
      <w:r w:rsidR="008308A6">
        <w:t xml:space="preserve"> </w:t>
      </w:r>
      <w:r w:rsidR="00FB0304">
        <w:t xml:space="preserve">dla efektywnego </w:t>
      </w:r>
      <w:r w:rsidR="008308A6">
        <w:t>prowadzenia działalności</w:t>
      </w:r>
      <w:r w:rsidR="00FB0304">
        <w:t>.</w:t>
      </w:r>
      <w:r w:rsidR="00D74073">
        <w:t xml:space="preserve"> Budowa silnego segmentu organizacji strażniczych i mediów obywatelskich jest więc jednym </w:t>
      </w:r>
      <w:r w:rsidR="005E06A7">
        <w:br/>
      </w:r>
      <w:r w:rsidR="00D74073">
        <w:t xml:space="preserve">z kluczowych wyzwań w kontekście rozwoju </w:t>
      </w:r>
      <w:r w:rsidR="00E77541">
        <w:t xml:space="preserve">sektora obywatelskiego w Polsce jako zbiorowości mającej zdolność </w:t>
      </w:r>
      <w:r w:rsidR="00E77541" w:rsidRPr="00E77541">
        <w:t xml:space="preserve">wywierania </w:t>
      </w:r>
      <w:r w:rsidR="00E77541">
        <w:t xml:space="preserve">realnego </w:t>
      </w:r>
      <w:r w:rsidR="00E77541" w:rsidRPr="00E77541">
        <w:t>wpływu na sprawy publiczne</w:t>
      </w:r>
      <w:r w:rsidR="00E77541">
        <w:t xml:space="preserve">, w szczególności </w:t>
      </w:r>
      <w:r w:rsidR="005E06A7">
        <w:br/>
      </w:r>
      <w:r w:rsidR="00E77541">
        <w:t>na poziomie lokalnym.</w:t>
      </w:r>
    </w:p>
    <w:p w14:paraId="57D8B88F" w14:textId="77777777" w:rsidR="00B2612B" w:rsidRDefault="00B2612B">
      <w:pPr>
        <w:spacing w:after="160" w:line="259" w:lineRule="auto"/>
        <w:jc w:val="left"/>
      </w:pPr>
      <w:r>
        <w:br w:type="page"/>
      </w:r>
    </w:p>
    <w:p w14:paraId="30884534" w14:textId="1DDC629B" w:rsidR="00B2612B" w:rsidRPr="00BB011A" w:rsidRDefault="00975B7F" w:rsidP="00B2612B">
      <w:pPr>
        <w:pStyle w:val="Nagwek1"/>
        <w:rPr>
          <w:rFonts w:eastAsia="Times New Roman"/>
        </w:rPr>
      </w:pPr>
      <w:bookmarkStart w:id="38" w:name="_Toc506902125"/>
      <w:bookmarkStart w:id="39" w:name="_Toc508718256"/>
      <w:bookmarkStart w:id="40" w:name="_Toc508718403"/>
      <w:bookmarkStart w:id="41" w:name="_Toc508718460"/>
      <w:bookmarkStart w:id="42" w:name="_Toc508718533"/>
      <w:bookmarkStart w:id="43" w:name="_Toc516642771"/>
      <w:bookmarkStart w:id="44" w:name="_Toc506902127"/>
      <w:r>
        <w:rPr>
          <w:rFonts w:eastAsia="Times New Roman"/>
        </w:rPr>
        <w:lastRenderedPageBreak/>
        <w:t>3</w:t>
      </w:r>
      <w:r w:rsidR="00B2612B">
        <w:rPr>
          <w:rFonts w:eastAsia="Times New Roman"/>
        </w:rPr>
        <w:t xml:space="preserve">. </w:t>
      </w:r>
      <w:r w:rsidR="00B2612B" w:rsidRPr="00BB011A">
        <w:rPr>
          <w:rFonts w:eastAsia="Times New Roman"/>
        </w:rPr>
        <w:t>Cele Programu</w:t>
      </w:r>
      <w:bookmarkEnd w:id="38"/>
      <w:bookmarkEnd w:id="39"/>
      <w:bookmarkEnd w:id="40"/>
      <w:bookmarkEnd w:id="41"/>
      <w:bookmarkEnd w:id="42"/>
      <w:bookmarkEnd w:id="43"/>
    </w:p>
    <w:p w14:paraId="76D39941" w14:textId="10AAF178" w:rsidR="00B2612B" w:rsidRPr="00BB011A" w:rsidRDefault="000D14CB" w:rsidP="00B2612B">
      <w:r>
        <w:t>Głównym celem</w:t>
      </w:r>
      <w:r w:rsidR="001C21BA">
        <w:t xml:space="preserve"> </w:t>
      </w:r>
      <w:r w:rsidR="00B2612B" w:rsidRPr="00BB011A">
        <w:t xml:space="preserve">Programu jest wsparcie rozwoju instytucjonalnego organizacji społeczeństwa obywatelskiego </w:t>
      </w:r>
      <w:r w:rsidR="00B2612B">
        <w:t xml:space="preserve">oraz </w:t>
      </w:r>
      <w:r w:rsidR="00B2612B" w:rsidRPr="00BB011A">
        <w:t xml:space="preserve">zwiększenie udziału </w:t>
      </w:r>
      <w:r w:rsidR="00B2612B">
        <w:t xml:space="preserve">tych organizacji </w:t>
      </w:r>
      <w:r w:rsidR="00B2612B" w:rsidRPr="00BB011A">
        <w:t>w życiu pub</w:t>
      </w:r>
      <w:r w:rsidR="003B09BD">
        <w:t xml:space="preserve">licznym, a w konsekwencji </w:t>
      </w:r>
      <w:r w:rsidR="003B09BD" w:rsidRPr="003B09BD">
        <w:rPr>
          <w:rFonts w:asciiTheme="majorHAnsi" w:hAnsiTheme="majorHAnsi"/>
          <w:color w:val="000000"/>
          <w:spacing w:val="-2"/>
        </w:rPr>
        <w:t>upowszechnianie demokratycznych norm obywatelskości</w:t>
      </w:r>
      <w:r w:rsidR="00B2612B">
        <w:t>. Wzmocnienie instytucjonalne będzie prowadzić do wszechstronnego rozwoju sektora obywatelskiego, w tym do podniesienia jakości działania organizacji, ich efektywnego zaangażowania w życie publiczne, zwiększenia funkcji kontrolnych oraz eksperckich. Istotnym założeniem Programu jest wsparcie budowy silnego, sp</w:t>
      </w:r>
      <w:r w:rsidR="009D520E">
        <w:t>rawnego sektora obywatelskiego</w:t>
      </w:r>
      <w:r w:rsidR="00B2612B">
        <w:t>, który zachowując swoją różnorodność i niezależność będzie równocześnie realnym, równoprawnym partnerem w życiu publicznym i społecznym dla znacznie silniejszych instytucji władzy politycznej, ekonomicznej, medialnej czy samorządowej. Poniżej zaprezentowano cele szczegółowe Programu.</w:t>
      </w:r>
    </w:p>
    <w:p w14:paraId="2EAB49C0" w14:textId="23ACA7FF" w:rsidR="00B2612B" w:rsidRPr="00BB011A" w:rsidRDefault="00B2612B" w:rsidP="00B2612B">
      <w:pPr>
        <w:pStyle w:val="Nagwek2"/>
        <w:ind w:left="2124" w:hanging="2124"/>
        <w:rPr>
          <w:rFonts w:eastAsia="Times New Roman"/>
        </w:rPr>
      </w:pPr>
      <w:bookmarkStart w:id="45" w:name="_Toc508718534"/>
      <w:r>
        <w:rPr>
          <w:rFonts w:eastAsia="Times New Roman"/>
        </w:rPr>
        <w:t>Cel szczegółowy 1.:</w:t>
      </w:r>
      <w:r>
        <w:rPr>
          <w:rFonts w:eastAsia="Times New Roman"/>
        </w:rPr>
        <w:tab/>
      </w:r>
      <w:r w:rsidR="00AB0A78">
        <w:rPr>
          <w:rFonts w:eastAsia="Times New Roman"/>
        </w:rPr>
        <w:t>Wzrost</w:t>
      </w:r>
      <w:r w:rsidRPr="00BB011A">
        <w:rPr>
          <w:rFonts w:eastAsia="Times New Roman"/>
        </w:rPr>
        <w:t xml:space="preserve"> </w:t>
      </w:r>
      <w:r>
        <w:rPr>
          <w:rFonts w:eastAsia="Times New Roman"/>
        </w:rPr>
        <w:t xml:space="preserve">zaangażowania </w:t>
      </w:r>
      <w:r w:rsidRPr="00BB011A">
        <w:rPr>
          <w:rFonts w:eastAsia="Times New Roman"/>
        </w:rPr>
        <w:t xml:space="preserve">obywateli </w:t>
      </w:r>
      <w:r>
        <w:rPr>
          <w:rFonts w:eastAsia="Times New Roman"/>
        </w:rPr>
        <w:t xml:space="preserve">i </w:t>
      </w:r>
      <w:r w:rsidRPr="00BB011A">
        <w:rPr>
          <w:rFonts w:eastAsia="Times New Roman"/>
        </w:rPr>
        <w:t>organizacji obywatelskich</w:t>
      </w:r>
      <w:r w:rsidR="00AB0A78">
        <w:rPr>
          <w:rFonts w:eastAsia="Times New Roman"/>
        </w:rPr>
        <w:t xml:space="preserve"> </w:t>
      </w:r>
      <w:r>
        <w:rPr>
          <w:rFonts w:eastAsia="Times New Roman"/>
        </w:rPr>
        <w:t>w</w:t>
      </w:r>
      <w:r w:rsidR="00AB0A78">
        <w:rPr>
          <w:rFonts w:eastAsia="Times New Roman"/>
        </w:rPr>
        <w:t> </w:t>
      </w:r>
      <w:r>
        <w:rPr>
          <w:rFonts w:eastAsia="Times New Roman"/>
        </w:rPr>
        <w:t>życie publiczne</w:t>
      </w:r>
      <w:bookmarkEnd w:id="45"/>
    </w:p>
    <w:p w14:paraId="7C391D64" w14:textId="7BCF2A2E" w:rsidR="00B2612B" w:rsidRPr="00BB011A" w:rsidRDefault="00B2612B" w:rsidP="00B2612B">
      <w:r w:rsidRPr="00BB011A">
        <w:t xml:space="preserve">Społeczności lokalne są miejscem gdzie </w:t>
      </w:r>
      <w:r>
        <w:t xml:space="preserve">pojawia </w:t>
      </w:r>
      <w:r w:rsidRPr="00BB011A">
        <w:t xml:space="preserve">się wiele różnorodnych inicjatyw, które służą kształtowaniu się dojrzałych wspólnot obywatelskich. W pierwszej kolejności obywatele łączą swoje wysiłki, aby wspólnie rozwiązywać problemy społeczności lokalnych, które nie znajdują </w:t>
      </w:r>
      <w:r>
        <w:br/>
      </w:r>
      <w:r w:rsidRPr="00BB011A">
        <w:t>z rożnych powodów dostatecznego wsparcia ze strony administracji publicznej. Jednak zarówno motywacja do działania wspólnego</w:t>
      </w:r>
      <w:r>
        <w:t>,</w:t>
      </w:r>
      <w:r w:rsidRPr="00BB011A">
        <w:t xml:space="preserve"> jak </w:t>
      </w:r>
      <w:r>
        <w:t>i</w:t>
      </w:r>
      <w:r w:rsidRPr="00BB011A">
        <w:t xml:space="preserve"> zakres podejmowanych inicjatyw jest dużo szerszy. </w:t>
      </w:r>
      <w:r>
        <w:br/>
      </w:r>
      <w:r w:rsidR="00B33B28">
        <w:t>W ró</w:t>
      </w:r>
      <w:r w:rsidRPr="00BB011A">
        <w:t>żnych miejscach pojawiają się inicjatywy o charakterze rzeczniczym</w:t>
      </w:r>
      <w:r>
        <w:t xml:space="preserve"> i strażniczym, zaangażowane społecznie media obywatelskie</w:t>
      </w:r>
      <w:r w:rsidRPr="00BB011A">
        <w:t xml:space="preserve">. Mieszkańcy organizują się, aby sprawować obywatelską kontrolę władzy, przy czym </w:t>
      </w:r>
      <w:r>
        <w:t xml:space="preserve">często </w:t>
      </w:r>
      <w:r w:rsidRPr="00BB011A">
        <w:t xml:space="preserve">impulsem </w:t>
      </w:r>
      <w:r>
        <w:t xml:space="preserve">do </w:t>
      </w:r>
      <w:r w:rsidRPr="00BB011A">
        <w:t xml:space="preserve">takiego działania bywają pojawiające się głosy o nieprawidłowościach w </w:t>
      </w:r>
      <w:r>
        <w:t xml:space="preserve">wypełnianiu </w:t>
      </w:r>
      <w:r w:rsidRPr="00BB011A">
        <w:t>obowiązków p</w:t>
      </w:r>
      <w:r>
        <w:t>ublicznych przez władze.</w:t>
      </w:r>
      <w:r w:rsidRPr="00BB011A">
        <w:t xml:space="preserve"> </w:t>
      </w:r>
      <w:r w:rsidR="00B33B28">
        <w:t>O</w:t>
      </w:r>
      <w:r w:rsidR="00B33B28" w:rsidRPr="00BB011A">
        <w:t xml:space="preserve">bywatele </w:t>
      </w:r>
      <w:r w:rsidR="00B33B28">
        <w:t xml:space="preserve">podejmują wysiłki na rzecz tworzenia </w:t>
      </w:r>
      <w:r w:rsidR="00B33B28" w:rsidRPr="00BB011A">
        <w:t xml:space="preserve">instytucji partycypacyjnych </w:t>
      </w:r>
      <w:r w:rsidR="00B33B28">
        <w:t>żeby</w:t>
      </w:r>
      <w:r w:rsidR="00B33B28" w:rsidRPr="00BB011A">
        <w:t xml:space="preserve"> mieć realny wpływ na decyzje podejmowane w społeczności lokalnej</w:t>
      </w:r>
      <w:r w:rsidRPr="00BB011A">
        <w:t xml:space="preserve">. Oddolne inicjatywy obywatelskie często jednak nie mogą się rozwinąć, ponieważ </w:t>
      </w:r>
      <w:r>
        <w:t xml:space="preserve">w pierwszym okresie aktywności napotykają </w:t>
      </w:r>
      <w:r w:rsidRPr="00BB011A">
        <w:t xml:space="preserve">na bariery związane z dostępem do zewnętrznych źródeł finansowania oraz </w:t>
      </w:r>
      <w:r>
        <w:t xml:space="preserve">deficytami kompetencji </w:t>
      </w:r>
      <w:r w:rsidRPr="00BB011A">
        <w:t>(</w:t>
      </w:r>
      <w:r>
        <w:t>np. w kwestii jak skutecznie działać i wywierać wpływ, jak się</w:t>
      </w:r>
      <w:r w:rsidRPr="00BB011A">
        <w:t xml:space="preserve"> organizować</w:t>
      </w:r>
      <w:r>
        <w:t xml:space="preserve">, </w:t>
      </w:r>
      <w:r w:rsidRPr="00BB011A">
        <w:t xml:space="preserve">itd.). Niezbędne jest więc dedykowane wsparcie dla </w:t>
      </w:r>
      <w:r>
        <w:t xml:space="preserve">działań podejmowanych przez organizacje na rzecz lokalnych społeczności, tak aby zwiększać ich zdolność </w:t>
      </w:r>
      <w:r w:rsidR="00AB0A78">
        <w:br/>
      </w:r>
      <w:r>
        <w:lastRenderedPageBreak/>
        <w:t xml:space="preserve">do skutecznego monitorowania i kontroli władzy, reprezentacji i społecznego doradztwa, </w:t>
      </w:r>
      <w:r>
        <w:br/>
        <w:t xml:space="preserve">a w konsekwencji osiągania realnego wpływu na kształtowanie życia publicznego. Przewiduje się </w:t>
      </w:r>
      <w:r w:rsidR="005D2383">
        <w:t xml:space="preserve">zarówno </w:t>
      </w:r>
      <w:r>
        <w:t>udzielanie pomocy niewielkim, nowym</w:t>
      </w:r>
      <w:r w:rsidRPr="00BB011A">
        <w:t xml:space="preserve"> </w:t>
      </w:r>
      <w:r>
        <w:t>przedsięwzięciom</w:t>
      </w:r>
      <w:r w:rsidRPr="00BB011A">
        <w:t xml:space="preserve"> realizowanym </w:t>
      </w:r>
      <w:r>
        <w:t xml:space="preserve">na rzecz </w:t>
      </w:r>
      <w:r w:rsidRPr="00BB011A">
        <w:t>wspólnot</w:t>
      </w:r>
      <w:r w:rsidRPr="00BC7CC6">
        <w:t xml:space="preserve"> </w:t>
      </w:r>
      <w:r w:rsidRPr="00BB011A">
        <w:t xml:space="preserve">lokalnych, </w:t>
      </w:r>
      <w:r w:rsidR="005D2383">
        <w:t>jak i</w:t>
      </w:r>
      <w:r w:rsidRPr="00BB011A">
        <w:t xml:space="preserve"> </w:t>
      </w:r>
      <w:r>
        <w:t>wsparcie dla już istniejących inicjatyw</w:t>
      </w:r>
      <w:r w:rsidRPr="00BB011A">
        <w:t xml:space="preserve">, </w:t>
      </w:r>
      <w:r>
        <w:t xml:space="preserve">które </w:t>
      </w:r>
      <w:r w:rsidR="002408C0">
        <w:t>z ró</w:t>
      </w:r>
      <w:r w:rsidRPr="00BB011A">
        <w:t xml:space="preserve">żnych przyczyn nie miały dotychczas </w:t>
      </w:r>
      <w:r>
        <w:t xml:space="preserve">dogodnych </w:t>
      </w:r>
      <w:r w:rsidRPr="00BB011A">
        <w:t>warunków do pełnego rozwoju.</w:t>
      </w:r>
      <w:r>
        <w:t xml:space="preserve"> Innym aspektem promocji zaangażowania organizacji obywatelskich w życie publiczne będzie stworzenie mechanizmu wsparcia finansowego z przeznaczeniem na pokrycie kosztów uczestnictwa w ważnych wydarzeniach z punktu widzenia sektora lub danej branży. Zwiększenie możliwości udziału przedstawicieli </w:t>
      </w:r>
      <w:r w:rsidR="001803F8">
        <w:t xml:space="preserve">lokalnych </w:t>
      </w:r>
      <w:r>
        <w:t xml:space="preserve">organizacji w istotnych wydarzeniach życia publicznego oznacza </w:t>
      </w:r>
      <w:r w:rsidR="001803F8">
        <w:br/>
      </w:r>
      <w:r>
        <w:t>z jednej strony poprawę dostępności informacji o kierunkach rozwoju czy propozycjach rozwiązań, które pl</w:t>
      </w:r>
      <w:r w:rsidR="002408C0">
        <w:t>anuje przyjąć władza publiczna</w:t>
      </w:r>
      <w:r w:rsidR="005D2383">
        <w:t>, a z</w:t>
      </w:r>
      <w:r>
        <w:t xml:space="preserve"> drugiej </w:t>
      </w:r>
      <w:r w:rsidR="002408C0">
        <w:t xml:space="preserve">strony </w:t>
      </w:r>
      <w:r>
        <w:t>poszerza przestrzeń konsultacji społecznych oraz buduje możliwość realnego wpływu na ostateczny kształt decyzji podejmowanych przez organy administracji. W szerszej perspektywie pozwoli to organizacjom obywatelskim</w:t>
      </w:r>
      <w:r w:rsidRPr="00BB011A">
        <w:t xml:space="preserve"> </w:t>
      </w:r>
      <w:r>
        <w:t xml:space="preserve">stawać </w:t>
      </w:r>
      <w:r w:rsidRPr="00BB011A">
        <w:t xml:space="preserve">się bardziej </w:t>
      </w:r>
      <w:r>
        <w:t xml:space="preserve">widocznymi i </w:t>
      </w:r>
      <w:r w:rsidRPr="00BB011A">
        <w:t>skutecznym</w:t>
      </w:r>
      <w:r>
        <w:t>i</w:t>
      </w:r>
      <w:r w:rsidRPr="00BB011A">
        <w:t xml:space="preserve"> </w:t>
      </w:r>
      <w:r>
        <w:t>partnerami</w:t>
      </w:r>
      <w:r w:rsidRPr="00BB011A">
        <w:t xml:space="preserve"> instytucji publicznych w dialogu obywatelskim.</w:t>
      </w:r>
    </w:p>
    <w:p w14:paraId="362992F2" w14:textId="77777777" w:rsidR="00B2612B" w:rsidRPr="00BB011A" w:rsidRDefault="00B2612B" w:rsidP="00B2612B">
      <w:pPr>
        <w:pStyle w:val="Nagwek2"/>
        <w:rPr>
          <w:rFonts w:eastAsia="Times New Roman"/>
        </w:rPr>
      </w:pPr>
      <w:bookmarkStart w:id="46" w:name="_Toc508718535"/>
      <w:r>
        <w:rPr>
          <w:rFonts w:eastAsia="Times New Roman"/>
        </w:rPr>
        <w:t>Cel szczegółowy 2.:</w:t>
      </w:r>
      <w:r>
        <w:rPr>
          <w:rFonts w:eastAsia="Times New Roman"/>
        </w:rPr>
        <w:tab/>
      </w:r>
      <w:r w:rsidRPr="00BB011A">
        <w:rPr>
          <w:rFonts w:eastAsia="Times New Roman"/>
        </w:rPr>
        <w:t>Wzmocnienie organizacji obywatelskich</w:t>
      </w:r>
      <w:r>
        <w:rPr>
          <w:rFonts w:eastAsia="Times New Roman"/>
        </w:rPr>
        <w:t xml:space="preserve"> w wymiarze strategicznym</w:t>
      </w:r>
      <w:bookmarkEnd w:id="46"/>
    </w:p>
    <w:p w14:paraId="73F70D13" w14:textId="41EAC636" w:rsidR="00B2612B" w:rsidRPr="00BB011A" w:rsidRDefault="00B2612B" w:rsidP="00B2612B">
      <w:r w:rsidRPr="00BB011A">
        <w:t>Organizacje obywatelskie, aby nie były tylko enklawami aktywności</w:t>
      </w:r>
      <w:r>
        <w:t xml:space="preserve"> społecznej, muszą angażować się w działania mające na celu budowę szeroko pojętego kapitału społecznego</w:t>
      </w:r>
      <w:r w:rsidRPr="00BB011A">
        <w:t xml:space="preserve">. </w:t>
      </w:r>
      <w:r>
        <w:t xml:space="preserve">Dynamiczny rozwój </w:t>
      </w:r>
      <w:r w:rsidRPr="00BB011A">
        <w:t>skutecznych organizacji pozarządowych</w:t>
      </w:r>
      <w:r>
        <w:t xml:space="preserve"> zaangażowanych w rozwiązywanie problemów lokalnych wymaga systematycznego podnoszenia</w:t>
      </w:r>
      <w:r w:rsidRPr="00BB011A">
        <w:t xml:space="preserve"> </w:t>
      </w:r>
      <w:r>
        <w:t xml:space="preserve">kompetencji </w:t>
      </w:r>
      <w:r w:rsidRPr="00BB011A">
        <w:t xml:space="preserve">osób </w:t>
      </w:r>
      <w:r>
        <w:t xml:space="preserve">w nich </w:t>
      </w:r>
      <w:r w:rsidRPr="00BB011A">
        <w:t xml:space="preserve">działających. </w:t>
      </w:r>
      <w:r>
        <w:t xml:space="preserve">Wzmocnienia </w:t>
      </w:r>
      <w:r w:rsidRPr="00BB011A">
        <w:t xml:space="preserve">wymaga </w:t>
      </w:r>
      <w:r>
        <w:t xml:space="preserve">także </w:t>
      </w:r>
      <w:r w:rsidRPr="00BB011A">
        <w:t>sprawność</w:t>
      </w:r>
      <w:r>
        <w:t xml:space="preserve"> i efektywność </w:t>
      </w:r>
      <w:r w:rsidRPr="00BB011A">
        <w:t>funkcjonowania struktur organizacyjnych</w:t>
      </w:r>
      <w:r>
        <w:t xml:space="preserve"> tych podmiotów. Istotne jest zatem budowanie wszechstronnego potencjału instytucjonalnego organizacji obywatelskich </w:t>
      </w:r>
      <w:r w:rsidR="005D2383">
        <w:t>wykraczającego poza perspektywę</w:t>
      </w:r>
      <w:r>
        <w:t xml:space="preserve"> indywidualnych przedsięwzięć i projektów. Jednym z aspektów dojrzałości organizacyjnej jest właśnie wymiar zarządzania strategicznego</w:t>
      </w:r>
      <w:r w:rsidR="005D2383">
        <w:t>, obejmującego</w:t>
      </w:r>
      <w:r>
        <w:t xml:space="preserve"> </w:t>
      </w:r>
      <w:r w:rsidR="005D2383">
        <w:t xml:space="preserve">planowanie </w:t>
      </w:r>
      <w:r>
        <w:t xml:space="preserve">działań w perspektywie kilkuletniej, </w:t>
      </w:r>
      <w:r w:rsidR="005D2383">
        <w:t xml:space="preserve">budowanie </w:t>
      </w:r>
      <w:r>
        <w:t>stabilnych modeli finansowania działalności opartych o zdywersyfikowane źródła przychodów</w:t>
      </w:r>
      <w:r w:rsidR="005D2383">
        <w:t xml:space="preserve"> i </w:t>
      </w:r>
      <w:r>
        <w:t xml:space="preserve">tworzenie kapitału ludzkiego. </w:t>
      </w:r>
      <w:r w:rsidRPr="00BB011A">
        <w:t>Ważną rolę w tym procesie powinny</w:t>
      </w:r>
      <w:r>
        <w:t xml:space="preserve"> odgrywać organizacje sieciowe</w:t>
      </w:r>
      <w:r w:rsidRPr="00BB011A">
        <w:t xml:space="preserve">, zrzeszenia organizacji, </w:t>
      </w:r>
      <w:r w:rsidR="005D2383" w:rsidRPr="00BB011A">
        <w:t>r</w:t>
      </w:r>
      <w:r w:rsidR="005D2383">
        <w:t>ó</w:t>
      </w:r>
      <w:r w:rsidR="005D2383" w:rsidRPr="00BB011A">
        <w:t xml:space="preserve">żnego </w:t>
      </w:r>
      <w:r w:rsidRPr="00BB011A">
        <w:t>typu federacje i konfederacje organizacj</w:t>
      </w:r>
      <w:r>
        <w:t xml:space="preserve">i, a także organizacje infrastrukturalne, tj. takie, których istotna część działalności polega na wspieraniu innych organizacji. Organizacje </w:t>
      </w:r>
      <w:r w:rsidR="00E05E6D">
        <w:t xml:space="preserve">realizujące tego typu działalność </w:t>
      </w:r>
      <w:r>
        <w:t xml:space="preserve">powinny spełniać najwyższe standardy jakości usług dostarczanych na </w:t>
      </w:r>
      <w:r>
        <w:lastRenderedPageBreak/>
        <w:t>rzecz swoich interesariuszy – innych organizacji obywatelskich. Sam proces planowania rozwoju</w:t>
      </w:r>
      <w:r w:rsidR="006720EA">
        <w:t>,</w:t>
      </w:r>
      <w:r>
        <w:t xml:space="preserve"> poczynając od zastosowania metod bilansu strategicznego, aż po wyznaczenie konkretnych celów, które organizacja zamierza osiągać, może być ważnym elementem procesu profesjonalizacji instytucjonalnej. Systemowe wsparcie rozwoju instytucjonalnego, zarówno w wymiarze organizacyjnym, jak również technicznym oraz merytorycznym</w:t>
      </w:r>
      <w:r w:rsidR="002408C0">
        <w:t>,</w:t>
      </w:r>
      <w:r>
        <w:t xml:space="preserve"> ma docelowo oddziaływać w postaci budowy trwałych zasobów organizacji obywatelskich, które będą stanowiły podstawę dla skutecznej realizacji ich celów statutowych</w:t>
      </w:r>
      <w:r w:rsidR="00783F00">
        <w:t xml:space="preserve"> w perspektywie wieloletniej</w:t>
      </w:r>
      <w:r>
        <w:t>. Dodatkowo wzmocnione w ten sposób organizacje niejako automatycznie będą mogły odgrywać bardziej znaczącą rolę w życiu publicznym. Wymiar strategiczny</w:t>
      </w:r>
      <w:r w:rsidRPr="00BB011A">
        <w:t xml:space="preserve"> </w:t>
      </w:r>
      <w:r>
        <w:t>wsparcia instytucjonalnego ma uwolnić dynamikę organizacji obywatelskich, która b</w:t>
      </w:r>
      <w:r w:rsidR="002408C0">
        <w:t>yła dotychczas ograniczana przez</w:t>
      </w:r>
      <w:r>
        <w:t xml:space="preserve"> model funkcjonowania „od grantu do grantu”. Dodatkowo utrwalony w Polsce system zlecania zadań publicznych nie pozwala realnie rozwijać obszarów </w:t>
      </w:r>
      <w:r w:rsidR="005D2383">
        <w:t xml:space="preserve">zainteresowań i misyjnej </w:t>
      </w:r>
      <w:r>
        <w:t xml:space="preserve">aktywności organizacji, które </w:t>
      </w:r>
      <w:r w:rsidR="005D2383">
        <w:t xml:space="preserve">zmuszone są do koncentrowania </w:t>
      </w:r>
      <w:r>
        <w:t xml:space="preserve">się na działalności </w:t>
      </w:r>
      <w:r w:rsidRPr="00953442">
        <w:rPr>
          <w:i/>
        </w:rPr>
        <w:t>de facto</w:t>
      </w:r>
      <w:r>
        <w:t xml:space="preserve"> usługowej na rzecz organów administracji publicznej. Konieczne</w:t>
      </w:r>
      <w:r w:rsidRPr="00BB011A">
        <w:t xml:space="preserve"> jest zatem podjęcie nowej próby skonstruowania systemu </w:t>
      </w:r>
      <w:r w:rsidR="00E05E6D">
        <w:t xml:space="preserve">stymulowania </w:t>
      </w:r>
      <w:r w:rsidRPr="00BB011A">
        <w:t xml:space="preserve">rozwoju instytucjonalnego organizacji obywatelskich w oparciu o model wsparcia podmiotowego, który premiować </w:t>
      </w:r>
      <w:r w:rsidR="00E05E6D">
        <w:t>będzie wieloletnie programy</w:t>
      </w:r>
      <w:r>
        <w:t xml:space="preserve"> rozwoju</w:t>
      </w:r>
      <w:r w:rsidR="00E05E6D">
        <w:t xml:space="preserve"> </w:t>
      </w:r>
      <w:r w:rsidRPr="00BB011A">
        <w:t xml:space="preserve">nastawione na budowanie </w:t>
      </w:r>
      <w:r w:rsidR="00E05E6D">
        <w:t xml:space="preserve">wielostronnych koalicji, a także </w:t>
      </w:r>
      <w:r w:rsidRPr="00BB011A">
        <w:t xml:space="preserve">rozwój zasobów organizacji obywatelskich oraz ich sieci. Towarzyszyć temu </w:t>
      </w:r>
      <w:r>
        <w:t xml:space="preserve">musi systematyczny </w:t>
      </w:r>
      <w:r w:rsidRPr="00BB011A">
        <w:t xml:space="preserve">rozwój badań i analiz stanu społeczeństwa obywatelskiego w Polsce, działalności organizacji pozarządowych, współpracy </w:t>
      </w:r>
      <w:r>
        <w:t>międzysektorowej.</w:t>
      </w:r>
    </w:p>
    <w:p w14:paraId="67BD96D3" w14:textId="77777777" w:rsidR="00B2612B" w:rsidRPr="00BB011A" w:rsidRDefault="00B2612B" w:rsidP="00B2612B">
      <w:pPr>
        <w:pStyle w:val="Nagwek2"/>
        <w:rPr>
          <w:rFonts w:eastAsia="Times New Roman"/>
        </w:rPr>
      </w:pPr>
      <w:bookmarkStart w:id="47" w:name="_Toc508718536"/>
      <w:r>
        <w:rPr>
          <w:rFonts w:eastAsia="Times New Roman"/>
        </w:rPr>
        <w:t>Cel szczegółowy 3.:</w:t>
      </w:r>
      <w:r>
        <w:rPr>
          <w:rFonts w:eastAsia="Times New Roman"/>
        </w:rPr>
        <w:tab/>
      </w:r>
      <w:r w:rsidRPr="00BB011A">
        <w:rPr>
          <w:rFonts w:eastAsia="Times New Roman"/>
        </w:rPr>
        <w:t>Poprawa stabilności finan</w:t>
      </w:r>
      <w:r>
        <w:rPr>
          <w:rFonts w:eastAsia="Times New Roman"/>
        </w:rPr>
        <w:t>sowej organizacji obywatelskich</w:t>
      </w:r>
      <w:bookmarkEnd w:id="47"/>
    </w:p>
    <w:p w14:paraId="6F4FFF7B" w14:textId="7E266399" w:rsidR="00515170" w:rsidRDefault="00B2612B" w:rsidP="00B2612B">
      <w:r w:rsidRPr="00BB011A">
        <w:t xml:space="preserve">Zauważany w Polsce dynamiczny wzrost liczby organizacji pozarządowych nie może być </w:t>
      </w:r>
      <w:r w:rsidR="00E05E6D">
        <w:t>traktowany jako wartość autonomiczna</w:t>
      </w:r>
      <w:r w:rsidRPr="00BB011A">
        <w:t>, ale powinien być skor</w:t>
      </w:r>
      <w:r w:rsidR="00E05E6D">
        <w:t>elowany z uzyskiwaniem przez organizacje</w:t>
      </w:r>
      <w:r w:rsidRPr="00BB011A">
        <w:t xml:space="preserve"> zdolności operacyjne</w:t>
      </w:r>
      <w:r>
        <w:t>j do skutecznego realizowania celów statutowych w obszarze pożytku publicznego.</w:t>
      </w:r>
      <w:r w:rsidRPr="00BB011A">
        <w:t xml:space="preserve"> Tymczasem brak ciągłości, stabilności i przewidywalności finansowania pomimo dostrzegalnego w ostatnich latach </w:t>
      </w:r>
      <w:r>
        <w:t xml:space="preserve">nominalnego </w:t>
      </w:r>
      <w:r w:rsidRPr="00BB011A">
        <w:t xml:space="preserve">wzrostu przychodów </w:t>
      </w:r>
      <w:r w:rsidR="00AB0A78">
        <w:t xml:space="preserve">sektora </w:t>
      </w:r>
      <w:r w:rsidRPr="00BB011A">
        <w:t xml:space="preserve">stanowi nadal duży problem wielu organizacji pozarządowych. Stabilne finansowanie działalności </w:t>
      </w:r>
      <w:r w:rsidR="00E05E6D">
        <w:br/>
      </w:r>
      <w:r w:rsidRPr="00BB011A">
        <w:t xml:space="preserve">w dłuższej perspektywie </w:t>
      </w:r>
      <w:r>
        <w:t>jest zatem wciąż</w:t>
      </w:r>
      <w:r w:rsidRPr="00BB011A">
        <w:t xml:space="preserve"> poza zasięgiem</w:t>
      </w:r>
      <w:r w:rsidRPr="00E377F7">
        <w:t xml:space="preserve"> </w:t>
      </w:r>
      <w:r w:rsidRPr="00BB011A">
        <w:t>dla większości organizacji.</w:t>
      </w:r>
      <w:r>
        <w:t xml:space="preserve"> </w:t>
      </w:r>
      <w:r w:rsidRPr="00BB011A">
        <w:t xml:space="preserve">Ze środków publicznych finansowanych </w:t>
      </w:r>
      <w:r>
        <w:t xml:space="preserve">(lub częściej współfinansowanych) </w:t>
      </w:r>
      <w:r w:rsidRPr="00BB011A">
        <w:t xml:space="preserve">jest wiele zadań </w:t>
      </w:r>
      <w:r w:rsidRPr="00BB011A">
        <w:lastRenderedPageBreak/>
        <w:t xml:space="preserve">publicznych, których wykonawcami są organizacje pozarządowe. Ponad połowa </w:t>
      </w:r>
      <w:r>
        <w:t xml:space="preserve">globalnego </w:t>
      </w:r>
      <w:r w:rsidR="00E05E6D" w:rsidRPr="00BB011A">
        <w:t>budżetu</w:t>
      </w:r>
      <w:r w:rsidRPr="00BB011A">
        <w:t xml:space="preserve"> </w:t>
      </w:r>
      <w:r>
        <w:t xml:space="preserve">polskich organizacji </w:t>
      </w:r>
      <w:r w:rsidRPr="00BB011A">
        <w:t xml:space="preserve">pochodzi ze środków publicznych. Wciąż jednak </w:t>
      </w:r>
      <w:r>
        <w:t xml:space="preserve">zlecanie </w:t>
      </w:r>
      <w:r w:rsidRPr="00BB011A">
        <w:t xml:space="preserve">realizacji zadań publicznych organizacjom obywatelskim </w:t>
      </w:r>
      <w:r w:rsidR="00AB0A78">
        <w:t xml:space="preserve">(w formie powierzania lub </w:t>
      </w:r>
      <w:r>
        <w:t>częściej wspierania)</w:t>
      </w:r>
      <w:r w:rsidRPr="00BB011A">
        <w:t xml:space="preserve"> </w:t>
      </w:r>
      <w:r w:rsidR="00AB0A78">
        <w:br/>
      </w:r>
      <w:r>
        <w:t xml:space="preserve">ma charakter ściśle projektowy i </w:t>
      </w:r>
      <w:r w:rsidRPr="00BB011A">
        <w:t xml:space="preserve">nie wiąże się z budowaniem fundamentów stabilności finansowej. Aby organizacje obywatelskie stawały się w przyszłości bardziej skutecznym </w:t>
      </w:r>
      <w:r w:rsidR="00AB0A78">
        <w:br/>
      </w:r>
      <w:r w:rsidRPr="00BB011A">
        <w:t>i stabilnym partnerem instytucji publicznych w realizacji zadań publicznych</w:t>
      </w:r>
      <w:r w:rsidR="006720EA">
        <w:t>,</w:t>
      </w:r>
      <w:r w:rsidRPr="00BB011A">
        <w:t xml:space="preserve"> niezbędne jest stworzenie perspektywy finansowania rozwoju instytucjonalnego i wsparcia organizacji </w:t>
      </w:r>
      <w:r w:rsidR="00231741">
        <w:br/>
      </w:r>
      <w:r w:rsidRPr="00BB011A">
        <w:t>w budowa</w:t>
      </w:r>
      <w:r>
        <w:t xml:space="preserve">niu ich stabilności finansowej. </w:t>
      </w:r>
      <w:r w:rsidR="005D2383">
        <w:t>By osiągnąć ten cel, z</w:t>
      </w:r>
      <w:r>
        <w:t xml:space="preserve">akłada się z jednej strony uruchomienie systemu grantów instytucjonalnych, które mają umożliwiać wzmacnianie zasobów organizacji poza bieżącą działalnością projektową, z drugiej strony rozwój struktur organizacji dysponujących kapitałami żelaznymi, które odpowiednio inwestowane będą pozwalały na osiągnięcie przez te podmioty trwałej zdolności do realizacji swoich celów statutowych bez względu na skuteczność aplikowania w różnych konkursach dotacyjnych. Dodatkowo istotnym problemem polskiego sektora obywatelskiego (w szczególności najmniejszych organizacji) jest często brak jakichkolwiek rezerw finansowych, co powoduje, </w:t>
      </w:r>
      <w:r w:rsidR="00113552">
        <w:br/>
      </w:r>
      <w:r>
        <w:t xml:space="preserve">że w nagłych sytuacjach organizacje nie mają </w:t>
      </w:r>
      <w:r w:rsidR="0085001B">
        <w:t xml:space="preserve">praktycznie </w:t>
      </w:r>
      <w:r>
        <w:t xml:space="preserve">możliwości skutecznego reagowania. Konieczne jest więc stworzenie mechanizmu zaradczego, </w:t>
      </w:r>
      <w:r w:rsidR="006720EA">
        <w:t>pozwalającego</w:t>
      </w:r>
      <w:r>
        <w:t xml:space="preserve"> na doraźne wspieranie organizacji, które znalazły się w tego typu sytuacji, pod warunkiem, że wyczerpały one inne możliwości uzyskania pomocy. Innym obszarem w odniesieniu do stabilności finansowej, który wymaga interwencji publicznej</w:t>
      </w:r>
      <w:r w:rsidR="006720EA">
        <w:t xml:space="preserve">, jest budowa trwałego i </w:t>
      </w:r>
      <w:r>
        <w:t xml:space="preserve">otwartego systemu finansowania wkładów własnych w odniesieniu do projektów, na które organizacje obywatelskie pozyskują finansowanie </w:t>
      </w:r>
      <w:r w:rsidR="00515170">
        <w:t>z innych źródeł.</w:t>
      </w:r>
    </w:p>
    <w:p w14:paraId="54E48F3A" w14:textId="77777777" w:rsidR="00005676" w:rsidRDefault="00005676">
      <w:pPr>
        <w:spacing w:after="160" w:line="259" w:lineRule="auto"/>
        <w:jc w:val="left"/>
        <w:rPr>
          <w:rFonts w:asciiTheme="majorHAnsi" w:eastAsiaTheme="majorEastAsia" w:hAnsiTheme="majorHAnsi" w:cstheme="majorBidi"/>
          <w:color w:val="2E74B5" w:themeColor="accent1" w:themeShade="BF"/>
          <w:sz w:val="32"/>
          <w:szCs w:val="32"/>
        </w:rPr>
      </w:pPr>
      <w:bookmarkStart w:id="48" w:name="_Toc508718257"/>
      <w:bookmarkStart w:id="49" w:name="_Toc508718404"/>
      <w:bookmarkStart w:id="50" w:name="_Toc508718461"/>
      <w:bookmarkStart w:id="51" w:name="_Toc508718537"/>
      <w:r>
        <w:br w:type="page"/>
      </w:r>
    </w:p>
    <w:p w14:paraId="6245B79B" w14:textId="6CB71776" w:rsidR="00B2612B" w:rsidRPr="005021D3" w:rsidRDefault="00975B7F" w:rsidP="00B2612B">
      <w:pPr>
        <w:keepNext/>
        <w:keepLines/>
        <w:spacing w:before="240" w:after="0"/>
        <w:outlineLvl w:val="0"/>
        <w:rPr>
          <w:rFonts w:eastAsia="Times New Roman" w:cs="Calibri Light"/>
          <w:color w:val="2E74B5"/>
          <w:sz w:val="32"/>
          <w:szCs w:val="32"/>
        </w:rPr>
      </w:pPr>
      <w:bookmarkStart w:id="52" w:name="_Toc508718258"/>
      <w:bookmarkStart w:id="53" w:name="_Toc508718405"/>
      <w:bookmarkStart w:id="54" w:name="_Toc508718462"/>
      <w:bookmarkStart w:id="55" w:name="_Toc508718538"/>
      <w:bookmarkStart w:id="56" w:name="_Toc516642772"/>
      <w:bookmarkEnd w:id="48"/>
      <w:bookmarkEnd w:id="49"/>
      <w:bookmarkEnd w:id="50"/>
      <w:bookmarkEnd w:id="51"/>
      <w:r>
        <w:rPr>
          <w:rFonts w:eastAsia="Times New Roman" w:cs="Calibri Light"/>
          <w:color w:val="2E74B5"/>
          <w:sz w:val="32"/>
          <w:szCs w:val="32"/>
        </w:rPr>
        <w:lastRenderedPageBreak/>
        <w:t>4</w:t>
      </w:r>
      <w:r w:rsidR="00B2612B" w:rsidRPr="005021D3">
        <w:rPr>
          <w:rFonts w:eastAsia="Times New Roman" w:cs="Calibri Light"/>
          <w:color w:val="2E74B5"/>
          <w:sz w:val="32"/>
          <w:szCs w:val="32"/>
        </w:rPr>
        <w:t>. Priorytety Programu</w:t>
      </w:r>
      <w:bookmarkEnd w:id="44"/>
      <w:bookmarkEnd w:id="52"/>
      <w:bookmarkEnd w:id="53"/>
      <w:bookmarkEnd w:id="54"/>
      <w:bookmarkEnd w:id="55"/>
      <w:bookmarkEnd w:id="56"/>
    </w:p>
    <w:p w14:paraId="27A1AC85" w14:textId="460A3B4D" w:rsidR="00B2612B" w:rsidRPr="005021D3" w:rsidRDefault="00E95396" w:rsidP="00B2612B">
      <w:pPr>
        <w:pStyle w:val="Nagwek2"/>
        <w:rPr>
          <w:rFonts w:eastAsia="Times New Roman"/>
        </w:rPr>
      </w:pPr>
      <w:bookmarkStart w:id="57" w:name="_Toc508718539"/>
      <w:bookmarkStart w:id="58" w:name="_Toc506902128"/>
      <w:r>
        <w:rPr>
          <w:rFonts w:eastAsia="Times New Roman"/>
        </w:rPr>
        <w:t>Priorytet 1</w:t>
      </w:r>
      <w:r w:rsidR="006265B7">
        <w:rPr>
          <w:rFonts w:eastAsia="Times New Roman"/>
        </w:rPr>
        <w:t>.</w:t>
      </w:r>
      <w:r w:rsidR="00B2612B" w:rsidRPr="005021D3">
        <w:rPr>
          <w:rFonts w:eastAsia="Times New Roman"/>
        </w:rPr>
        <w:t xml:space="preserve"> Zrównoważony rozwój organizacyjny</w:t>
      </w:r>
      <w:bookmarkEnd w:id="57"/>
      <w:r w:rsidR="00B2612B" w:rsidRPr="005021D3">
        <w:rPr>
          <w:rFonts w:eastAsia="Times New Roman"/>
        </w:rPr>
        <w:t xml:space="preserve"> </w:t>
      </w:r>
    </w:p>
    <w:bookmarkEnd w:id="58"/>
    <w:p w14:paraId="006443C9" w14:textId="3B2F5995" w:rsidR="00B2612B" w:rsidRPr="005021D3" w:rsidRDefault="00B2612B" w:rsidP="00B2612B">
      <w:r>
        <w:t>Aktywność</w:t>
      </w:r>
      <w:r w:rsidRPr="005021D3">
        <w:t xml:space="preserve"> organizacji społeczeństwa obywatelskiego w Polsce jest obecnie w dużej mierze determinowana przez uzyskiwane w różnorodnych formach granty i dotacje. W szczególności należy tu wskazać istniejącą</w:t>
      </w:r>
      <w:r>
        <w:t>, utrwaloną</w:t>
      </w:r>
      <w:r w:rsidRPr="005021D3">
        <w:t xml:space="preserve"> strukturę dystrybucji środków publicznych w oparciu </w:t>
      </w:r>
      <w:r w:rsidR="006720EA">
        <w:br/>
        <w:t xml:space="preserve">o </w:t>
      </w:r>
      <w:r w:rsidRPr="005021D3">
        <w:t xml:space="preserve">przepisy </w:t>
      </w:r>
      <w:proofErr w:type="spellStart"/>
      <w:r w:rsidR="00761D24">
        <w:t>UoDPPi</w:t>
      </w:r>
      <w:r w:rsidR="00A03E91">
        <w:t>W</w:t>
      </w:r>
      <w:proofErr w:type="spellEnd"/>
      <w:r w:rsidR="00A03E91">
        <w:t xml:space="preserve">. Obejmuje ona </w:t>
      </w:r>
      <w:r>
        <w:t xml:space="preserve">organizacje działające na </w:t>
      </w:r>
      <w:r w:rsidRPr="005021D3">
        <w:t>poziom</w:t>
      </w:r>
      <w:r>
        <w:t>ie</w:t>
      </w:r>
      <w:r w:rsidRPr="005021D3">
        <w:t xml:space="preserve"> </w:t>
      </w:r>
      <w:r>
        <w:t xml:space="preserve">lokalnym, jak również (w mniejszym stopniu) </w:t>
      </w:r>
      <w:r w:rsidRPr="005021D3">
        <w:t>krajowy</w:t>
      </w:r>
      <w:r>
        <w:t>m i regionalnym</w:t>
      </w:r>
      <w:r w:rsidRPr="005021D3">
        <w:t xml:space="preserve">. Organizacje </w:t>
      </w:r>
      <w:r>
        <w:t>osiągają</w:t>
      </w:r>
      <w:r w:rsidRPr="005021D3">
        <w:t xml:space="preserve"> zatem swoje cele statutowe poprzez realizację konkretnych projektów (najczęściej zadań publicznych), których budżety przedkładają w kolejnych </w:t>
      </w:r>
      <w:r>
        <w:t xml:space="preserve">konkursach </w:t>
      </w:r>
      <w:r w:rsidRPr="005021D3">
        <w:t xml:space="preserve">grantowych czy ofertach, nie mając przy tym gwarancji uzyskania wsparcia dla danego </w:t>
      </w:r>
      <w:r>
        <w:t>przedsięwzięcia</w:t>
      </w:r>
      <w:r w:rsidRPr="005021D3">
        <w:t>, a co za tym idzie</w:t>
      </w:r>
      <w:r w:rsidR="006720EA">
        <w:t>,</w:t>
      </w:r>
      <w:r w:rsidRPr="005021D3">
        <w:t xml:space="preserve"> pewności </w:t>
      </w:r>
      <w:r w:rsidR="00E3385A">
        <w:br/>
      </w:r>
      <w:r w:rsidRPr="005021D3">
        <w:t xml:space="preserve">w zakresie finansowania </w:t>
      </w:r>
      <w:r>
        <w:t xml:space="preserve">swojej </w:t>
      </w:r>
      <w:r w:rsidRPr="005021D3">
        <w:t>działalności</w:t>
      </w:r>
      <w:r>
        <w:t xml:space="preserve">. Organizacje obywatelskie </w:t>
      </w:r>
      <w:r w:rsidRPr="005021D3">
        <w:t>nie dysponują więc najczęściej środkami „</w:t>
      </w:r>
      <w:proofErr w:type="spellStart"/>
      <w:r w:rsidRPr="005021D3">
        <w:t>pozaprojektowymi</w:t>
      </w:r>
      <w:proofErr w:type="spellEnd"/>
      <w:r w:rsidRPr="005021D3">
        <w:t>”, które pozwalałby budować stabilność instytucjonalną (zarówno w zakresie zasobów ludzkich</w:t>
      </w:r>
      <w:r w:rsidR="006720EA">
        <w:t>,</w:t>
      </w:r>
      <w:r w:rsidRPr="005021D3">
        <w:t xml:space="preserve"> jak i technicznych)</w:t>
      </w:r>
      <w:r>
        <w:t xml:space="preserve"> oraz </w:t>
      </w:r>
      <w:r w:rsidRPr="005021D3">
        <w:t xml:space="preserve">dawały podstawową niezależność od wyników poszczególnych konkursów dotacyjnych, a także, </w:t>
      </w:r>
      <w:r w:rsidR="000C3D00">
        <w:br/>
      </w:r>
      <w:r w:rsidRPr="005021D3">
        <w:t xml:space="preserve">co szczególnie istotne, umożliwiały realne zarządzanie strategiczne – </w:t>
      </w:r>
      <w:r>
        <w:t xml:space="preserve">długofalowe </w:t>
      </w:r>
      <w:r w:rsidRPr="005021D3">
        <w:t>planowanie działań, aktywne poszukiwanie partnerów, w tym donatorów</w:t>
      </w:r>
      <w:r>
        <w:t>, angażowanie się w życie lokalnych wspólnot poza działaniami wynikającymi z realizowanych projektów</w:t>
      </w:r>
      <w:r w:rsidRPr="005021D3">
        <w:t>. Biorąc pod uwagę źródła finansowania organizacji na poziomie lokalnym</w:t>
      </w:r>
      <w:r w:rsidR="006720EA">
        <w:t>,</w:t>
      </w:r>
      <w:r w:rsidRPr="005021D3">
        <w:t xml:space="preserve"> ważna jest potrzeba </w:t>
      </w:r>
      <w:r>
        <w:t xml:space="preserve">zwiększenia </w:t>
      </w:r>
      <w:r w:rsidRPr="005021D3">
        <w:t xml:space="preserve">niezależności </w:t>
      </w:r>
      <w:r>
        <w:t xml:space="preserve">organizacji </w:t>
      </w:r>
      <w:r w:rsidRPr="005021D3">
        <w:t>od środków dystrybuowanych przez samorządy</w:t>
      </w:r>
      <w:r>
        <w:t xml:space="preserve">. Inną barierą dla rozwoju organizacji jest brak zdolności </w:t>
      </w:r>
      <w:r w:rsidR="00AE4DDD">
        <w:t xml:space="preserve"> </w:t>
      </w:r>
      <w:r>
        <w:t>realizacji projektów w ramach programów, w których instytucje zarządzające wymagają finansowego wkładu własnego. Jako przykład moż</w:t>
      </w:r>
      <w:r w:rsidR="006720EA">
        <w:t>na wskazać program „Europa dla O</w:t>
      </w:r>
      <w:r>
        <w:t>bywateli”</w:t>
      </w:r>
      <w:r w:rsidR="006720EA">
        <w:t>,</w:t>
      </w:r>
      <w:r>
        <w:t xml:space="preserve"> gdzie d</w:t>
      </w:r>
      <w:r w:rsidRPr="00145D23">
        <w:t>otacja nie może pokrywać całkowitych kosztów projektu</w:t>
      </w:r>
      <w:r>
        <w:t>.</w:t>
      </w:r>
    </w:p>
    <w:p w14:paraId="218924DA" w14:textId="4E93A382" w:rsidR="00B2612B" w:rsidRDefault="00B2612B" w:rsidP="00B2612B">
      <w:pPr>
        <w:pStyle w:val="Nagwek3"/>
      </w:pPr>
      <w:bookmarkStart w:id="59" w:name="_Toc508718540"/>
      <w:r>
        <w:rPr>
          <w:rFonts w:eastAsia="Calibri"/>
        </w:rPr>
        <w:t>Priorytet 1a</w:t>
      </w:r>
      <w:r w:rsidR="006265B7">
        <w:rPr>
          <w:rFonts w:eastAsia="Calibri"/>
        </w:rPr>
        <w:t>.</w:t>
      </w:r>
      <w:r>
        <w:rPr>
          <w:rFonts w:eastAsia="Calibri"/>
        </w:rPr>
        <w:t xml:space="preserve"> </w:t>
      </w:r>
      <w:r w:rsidR="00231741">
        <w:t>Wsparcie działań misyjnych i rozwoju instytucjonalnego</w:t>
      </w:r>
      <w:bookmarkEnd w:id="59"/>
    </w:p>
    <w:p w14:paraId="255786D5" w14:textId="179E2982" w:rsidR="00B2612B" w:rsidRDefault="0004255B" w:rsidP="00B2612B">
      <w:pPr>
        <w:rPr>
          <w:rFonts w:eastAsia="Calibri" w:cs="Calibri Light"/>
        </w:rPr>
      </w:pPr>
      <w:r>
        <w:rPr>
          <w:rFonts w:eastAsia="Calibri" w:cs="Calibri Light"/>
        </w:rPr>
        <w:t>Program zakłada</w:t>
      </w:r>
      <w:r w:rsidRPr="005021D3">
        <w:rPr>
          <w:rFonts w:eastAsia="Calibri" w:cs="Calibri Light"/>
        </w:rPr>
        <w:t xml:space="preserve"> </w:t>
      </w:r>
      <w:r>
        <w:rPr>
          <w:rFonts w:eastAsia="Calibri" w:cs="Calibri Light"/>
        </w:rPr>
        <w:t>do</w:t>
      </w:r>
      <w:r w:rsidRPr="005021D3">
        <w:rPr>
          <w:rFonts w:eastAsia="Calibri" w:cs="Calibri Light"/>
        </w:rPr>
        <w:t xml:space="preserve">finansowanie </w:t>
      </w:r>
      <w:r>
        <w:rPr>
          <w:rFonts w:eastAsia="Calibri" w:cs="Calibri Light"/>
        </w:rPr>
        <w:t>realizacji misji i kosztów prowadzenia działalności statutowej,</w:t>
      </w:r>
      <w:r w:rsidRPr="005021D3">
        <w:rPr>
          <w:rFonts w:eastAsia="Calibri" w:cs="Calibri Light"/>
        </w:rPr>
        <w:t xml:space="preserve"> </w:t>
      </w:r>
      <w:r w:rsidR="00352E7C">
        <w:rPr>
          <w:rFonts w:eastAsia="Calibri" w:cs="Calibri Light"/>
        </w:rPr>
        <w:t>w tym</w:t>
      </w:r>
      <w:r>
        <w:rPr>
          <w:rFonts w:eastAsia="Calibri" w:cs="Calibri Light"/>
        </w:rPr>
        <w:t xml:space="preserve"> </w:t>
      </w:r>
      <w:r w:rsidRPr="005021D3">
        <w:rPr>
          <w:rFonts w:eastAsia="Calibri" w:cs="Calibri Light"/>
        </w:rPr>
        <w:t xml:space="preserve">budowanie kapitału ludzkiego </w:t>
      </w:r>
      <w:r>
        <w:rPr>
          <w:rFonts w:eastAsia="Calibri" w:cs="Calibri Light"/>
        </w:rPr>
        <w:t>oraz zasobów technicznych</w:t>
      </w:r>
      <w:r w:rsidR="00B2612B" w:rsidRPr="005021D3">
        <w:rPr>
          <w:rFonts w:eastAsia="Calibri" w:cs="Calibri Light"/>
        </w:rPr>
        <w:t xml:space="preserve"> w ramach spójnych, wieloletnich strategii lub programów rozwoju organizacji. Wsparciem objęte zostaną takie programy rozwoju instytucjonalnego organizacji, które będą zakładać budowanie trwałych modeli finansowania działalności ze środków niepublicznych. W szczególności pomocą będą mogły zostać objęte działania tych organizacji, </w:t>
      </w:r>
      <w:r w:rsidR="00AE4DDD">
        <w:rPr>
          <w:rFonts w:eastAsia="Calibri" w:cs="Calibri Light"/>
        </w:rPr>
        <w:t xml:space="preserve">które </w:t>
      </w:r>
      <w:r w:rsidR="006265B7">
        <w:rPr>
          <w:rFonts w:eastAsia="Calibri" w:cs="Calibri Light"/>
        </w:rPr>
        <w:t>zaprezentują</w:t>
      </w:r>
      <w:r w:rsidR="00B2612B" w:rsidRPr="005021D3">
        <w:rPr>
          <w:rFonts w:eastAsia="Calibri" w:cs="Calibri Light"/>
        </w:rPr>
        <w:t xml:space="preserve"> realny plan </w:t>
      </w:r>
      <w:r w:rsidR="00B2612B">
        <w:rPr>
          <w:rFonts w:eastAsia="Calibri" w:cs="Calibri Light"/>
        </w:rPr>
        <w:t xml:space="preserve">rozwoju, </w:t>
      </w:r>
      <w:r w:rsidR="00AE4DDD">
        <w:rPr>
          <w:rFonts w:eastAsia="Calibri" w:cs="Calibri Light"/>
        </w:rPr>
        <w:t>możliwy do</w:t>
      </w:r>
      <w:r w:rsidR="00B2612B">
        <w:rPr>
          <w:rFonts w:eastAsia="Calibri" w:cs="Calibri Light"/>
        </w:rPr>
        <w:t xml:space="preserve"> </w:t>
      </w:r>
      <w:r w:rsidR="00AE4DDD">
        <w:rPr>
          <w:rFonts w:eastAsia="Calibri" w:cs="Calibri Light"/>
        </w:rPr>
        <w:t xml:space="preserve">skutecznej realizacji </w:t>
      </w:r>
      <w:r w:rsidR="00B2612B">
        <w:rPr>
          <w:rFonts w:eastAsia="Calibri" w:cs="Calibri Light"/>
        </w:rPr>
        <w:t xml:space="preserve">niezależnie </w:t>
      </w:r>
      <w:r w:rsidR="00B2612B" w:rsidRPr="005021D3">
        <w:rPr>
          <w:rFonts w:eastAsia="Calibri" w:cs="Calibri Light"/>
        </w:rPr>
        <w:t xml:space="preserve">od </w:t>
      </w:r>
      <w:r w:rsidR="00AE4DDD">
        <w:rPr>
          <w:rFonts w:eastAsia="Calibri" w:cs="Calibri Light"/>
        </w:rPr>
        <w:t xml:space="preserve">pozyskiwania lub nie </w:t>
      </w:r>
      <w:r w:rsidR="00B2612B" w:rsidRPr="005021D3">
        <w:rPr>
          <w:rFonts w:eastAsia="Calibri" w:cs="Calibri Light"/>
        </w:rPr>
        <w:lastRenderedPageBreak/>
        <w:t xml:space="preserve">środków pochodzących </w:t>
      </w:r>
      <w:r>
        <w:rPr>
          <w:rFonts w:eastAsia="Calibri" w:cs="Calibri Light"/>
        </w:rPr>
        <w:br/>
      </w:r>
      <w:r w:rsidR="00B2612B" w:rsidRPr="005021D3">
        <w:rPr>
          <w:rFonts w:eastAsia="Calibri" w:cs="Calibri Light"/>
        </w:rPr>
        <w:t xml:space="preserve">z realizacji zadań publicznych zleconych przez organy administracji </w:t>
      </w:r>
      <w:r w:rsidR="00B2612B">
        <w:rPr>
          <w:rFonts w:eastAsia="Calibri" w:cs="Calibri Light"/>
        </w:rPr>
        <w:t xml:space="preserve">publicznej. </w:t>
      </w:r>
      <w:r w:rsidRPr="005021D3">
        <w:rPr>
          <w:rFonts w:eastAsia="Calibri" w:cs="Calibri Light"/>
        </w:rPr>
        <w:t>W ramach Priorytetu 1</w:t>
      </w:r>
      <w:r>
        <w:rPr>
          <w:rFonts w:eastAsia="Calibri" w:cs="Calibri Light"/>
        </w:rPr>
        <w:t>a</w:t>
      </w:r>
      <w:r w:rsidRPr="005021D3">
        <w:rPr>
          <w:rFonts w:eastAsia="Calibri" w:cs="Calibri Light"/>
        </w:rPr>
        <w:t xml:space="preserve"> </w:t>
      </w:r>
      <w:r w:rsidR="00A65C05">
        <w:rPr>
          <w:rFonts w:eastAsia="Calibri" w:cs="Calibri Light"/>
        </w:rPr>
        <w:t>zaplanowano</w:t>
      </w:r>
      <w:r w:rsidRPr="005021D3">
        <w:rPr>
          <w:rFonts w:eastAsia="Calibri" w:cs="Calibri Light"/>
        </w:rPr>
        <w:t xml:space="preserve"> wsparcie organizacji obywatelskich poza realizowanymi przez nie projektami. </w:t>
      </w:r>
      <w:r w:rsidR="00B2612B">
        <w:rPr>
          <w:rFonts w:eastAsia="Calibri" w:cs="Calibri Light"/>
        </w:rPr>
        <w:t xml:space="preserve">Istotnym elementem, który będzie brany pod uwagę w kontekście interwencji </w:t>
      </w:r>
      <w:r w:rsidR="00352E7C">
        <w:rPr>
          <w:rFonts w:eastAsia="Calibri" w:cs="Calibri Light"/>
        </w:rPr>
        <w:br/>
      </w:r>
      <w:r w:rsidR="00B2612B">
        <w:rPr>
          <w:rFonts w:eastAsia="Calibri" w:cs="Calibri Light"/>
        </w:rPr>
        <w:t xml:space="preserve">w ramach Priorytetu 1a będzie gotowość aplikujących podmiotów do budowy lub rozwijania sieci, federacji lub innych form aliansów w ramach sektora na rzecz wzmocnienia potencjału organizacyjnego, skuteczności realizacji celów statutowych, możliwości oddziaływania </w:t>
      </w:r>
      <w:r w:rsidR="00B2612B">
        <w:rPr>
          <w:rFonts w:eastAsia="Calibri" w:cs="Calibri Light"/>
        </w:rPr>
        <w:br/>
        <w:t>i współpracy z sektorem prywatnym i publicznym.</w:t>
      </w:r>
    </w:p>
    <w:p w14:paraId="29DC4DC1" w14:textId="1FA5C722" w:rsidR="00B2612B" w:rsidRDefault="00B2612B" w:rsidP="00B2612B">
      <w:pPr>
        <w:rPr>
          <w:lang w:eastAsia="pl-PL"/>
        </w:rPr>
      </w:pPr>
      <w:r w:rsidRPr="005021D3">
        <w:rPr>
          <w:lang w:eastAsia="pl-PL"/>
        </w:rPr>
        <w:t>Szczegół</w:t>
      </w:r>
      <w:r>
        <w:rPr>
          <w:lang w:eastAsia="pl-PL"/>
        </w:rPr>
        <w:t xml:space="preserve">owe zasady przyznawania </w:t>
      </w:r>
      <w:r w:rsidR="006265B7">
        <w:rPr>
          <w:lang w:eastAsia="pl-PL"/>
        </w:rPr>
        <w:t>wsparcia w ramach Priorytetu 1a</w:t>
      </w:r>
      <w:r w:rsidRPr="005021D3">
        <w:rPr>
          <w:lang w:eastAsia="pl-PL"/>
        </w:rPr>
        <w:t xml:space="preserve">, w tym </w:t>
      </w:r>
      <w:r>
        <w:rPr>
          <w:lang w:eastAsia="pl-PL"/>
        </w:rPr>
        <w:t xml:space="preserve">minimalna </w:t>
      </w:r>
      <w:r w:rsidR="006265B7">
        <w:rPr>
          <w:lang w:eastAsia="pl-PL"/>
        </w:rPr>
        <w:br/>
        <w:t xml:space="preserve">i </w:t>
      </w:r>
      <w:r w:rsidRPr="005021D3">
        <w:rPr>
          <w:lang w:eastAsia="pl-PL"/>
        </w:rPr>
        <w:t>maksymalna wysokość</w:t>
      </w:r>
      <w:r>
        <w:rPr>
          <w:lang w:eastAsia="pl-PL"/>
        </w:rPr>
        <w:t xml:space="preserve"> dotacji</w:t>
      </w:r>
      <w:r w:rsidRPr="005021D3">
        <w:rPr>
          <w:lang w:eastAsia="pl-PL"/>
        </w:rPr>
        <w:t xml:space="preserve">, </w:t>
      </w:r>
      <w:r>
        <w:rPr>
          <w:lang w:eastAsia="pl-PL"/>
        </w:rPr>
        <w:t>wymagania dotyczące okresu wykorzystania środków pochodzących z Programu</w:t>
      </w:r>
      <w:r w:rsidRPr="00F6034A">
        <w:rPr>
          <w:lang w:eastAsia="pl-PL"/>
        </w:rPr>
        <w:t xml:space="preserve"> </w:t>
      </w:r>
      <w:r w:rsidRPr="005021D3">
        <w:rPr>
          <w:lang w:eastAsia="pl-PL"/>
        </w:rPr>
        <w:t>z</w:t>
      </w:r>
      <w:r>
        <w:rPr>
          <w:lang w:eastAsia="pl-PL"/>
        </w:rPr>
        <w:t>ostaną każd</w:t>
      </w:r>
      <w:r w:rsidR="006265B7">
        <w:rPr>
          <w:lang w:eastAsia="pl-PL"/>
        </w:rPr>
        <w:t>orazowo określone we właściwym regulaminie k</w:t>
      </w:r>
      <w:r w:rsidRPr="005021D3">
        <w:rPr>
          <w:lang w:eastAsia="pl-PL"/>
        </w:rPr>
        <w:t>onkursu</w:t>
      </w:r>
      <w:r w:rsidR="006265B7">
        <w:rPr>
          <w:lang w:eastAsia="pl-PL"/>
        </w:rPr>
        <w:t>. Regulamin k</w:t>
      </w:r>
      <w:r>
        <w:rPr>
          <w:lang w:eastAsia="pl-PL"/>
        </w:rPr>
        <w:t xml:space="preserve">onkursu będzie dodatkowo definiował kryteria formalne </w:t>
      </w:r>
      <w:r>
        <w:rPr>
          <w:lang w:eastAsia="pl-PL"/>
        </w:rPr>
        <w:br/>
        <w:t>i merytoryczne oraz procedurę wyboru organizacji uzyskujących dofinansowanie w ramach dotacji operacyjnych.</w:t>
      </w:r>
    </w:p>
    <w:p w14:paraId="039FBDAF" w14:textId="77777777" w:rsidR="00B2612B" w:rsidRDefault="00B2612B" w:rsidP="00B2612B">
      <w:pPr>
        <w:pStyle w:val="Nagwek3"/>
        <w:rPr>
          <w:rFonts w:eastAsia="Calibri"/>
        </w:rPr>
      </w:pPr>
      <w:bookmarkStart w:id="60" w:name="_Toc508718541"/>
      <w:r>
        <w:rPr>
          <w:rFonts w:eastAsia="Calibri"/>
        </w:rPr>
        <w:t>Priorytet 1b. Dotacje na wkład własny</w:t>
      </w:r>
      <w:bookmarkEnd w:id="60"/>
    </w:p>
    <w:p w14:paraId="223C8A83" w14:textId="39887F37" w:rsidR="00B2612B" w:rsidRDefault="00B2612B" w:rsidP="00B2612B">
      <w:r>
        <w:t xml:space="preserve">Jednym z ważnych wyzwań stojących przed polskimi organizacjami obywatelskimi jest zwiększenie aktywności w zakresie realizacji projektów międzynarodowych oraz sięgania </w:t>
      </w:r>
      <w:r w:rsidR="00AB79EE">
        <w:br/>
      </w:r>
      <w:r>
        <w:t>po środki w ramach programów wdrażanych przez instytucje zagraniczne, w tym między innymi Komisję Europejską i jej agencje. Jako przykład można wskazać zestawienia prezento</w:t>
      </w:r>
      <w:r w:rsidR="006265B7">
        <w:t>wane przez agencję wykonawczą Komisji</w:t>
      </w:r>
      <w:r>
        <w:t xml:space="preserve"> – EACEA </w:t>
      </w:r>
      <w:r w:rsidR="00005676">
        <w:t>(</w:t>
      </w:r>
      <w:proofErr w:type="spellStart"/>
      <w:r w:rsidR="00005676" w:rsidRPr="00005676">
        <w:t>Education</w:t>
      </w:r>
      <w:proofErr w:type="spellEnd"/>
      <w:r w:rsidR="00005676" w:rsidRPr="00005676">
        <w:t xml:space="preserve">, </w:t>
      </w:r>
      <w:proofErr w:type="spellStart"/>
      <w:r w:rsidR="00005676" w:rsidRPr="00005676">
        <w:t>Audiovisual</w:t>
      </w:r>
      <w:proofErr w:type="spellEnd"/>
      <w:r w:rsidR="00005676" w:rsidRPr="00005676">
        <w:t xml:space="preserve"> and </w:t>
      </w:r>
      <w:proofErr w:type="spellStart"/>
      <w:r w:rsidR="00005676" w:rsidRPr="00005676">
        <w:t>Culture</w:t>
      </w:r>
      <w:proofErr w:type="spellEnd"/>
      <w:r w:rsidR="00005676" w:rsidRPr="00005676">
        <w:t xml:space="preserve"> </w:t>
      </w:r>
      <w:proofErr w:type="spellStart"/>
      <w:r w:rsidR="00005676" w:rsidRPr="00005676">
        <w:t>Executive</w:t>
      </w:r>
      <w:proofErr w:type="spellEnd"/>
      <w:r w:rsidR="00005676" w:rsidRPr="00005676">
        <w:t xml:space="preserve"> </w:t>
      </w:r>
      <w:proofErr w:type="spellStart"/>
      <w:r w:rsidR="00005676" w:rsidRPr="00005676">
        <w:t>Agency</w:t>
      </w:r>
      <w:proofErr w:type="spellEnd"/>
      <w:r w:rsidR="00005676">
        <w:t xml:space="preserve">) </w:t>
      </w:r>
      <w:r w:rsidR="00A65C05">
        <w:br/>
      </w:r>
      <w:r>
        <w:t xml:space="preserve">w odniesieniu do programu „Europa dla Obywateli”, gdzie polskie organizacje uzyskujące granty pojawiają się niezwykle rzadko. Jedną z barier ubiegania się o środki pochodzące z programów ponadnarodowych jest konieczność pokrycia części kosztów projektu ze środków własnych, </w:t>
      </w:r>
      <w:r w:rsidR="00A65C05">
        <w:br/>
      </w:r>
      <w:r>
        <w:t>co przy większych przedsięwzięciach stanowi argument na</w:t>
      </w:r>
      <w:r w:rsidR="006265B7">
        <w:t xml:space="preserve"> rzecz rezygnacji z aplikowania</w:t>
      </w:r>
      <w:r>
        <w:t xml:space="preserve">. Równocześnie realizacja projektów finansowanych w ramach programów międzynarodowych jest ważnym elementem budowania profesjonalizmu organizacji. Stąd w ramach Priorytetu 1b zaplanowano wsparcie finansowe wkładów własnych organizacji, które uzyskują dofinansowanie z innych źródeł. </w:t>
      </w:r>
    </w:p>
    <w:p w14:paraId="079A9650" w14:textId="34E3E993" w:rsidR="00B2612B" w:rsidRDefault="00B2612B" w:rsidP="00B2612B">
      <w:pPr>
        <w:rPr>
          <w:lang w:eastAsia="pl-PL"/>
        </w:rPr>
      </w:pPr>
      <w:r w:rsidRPr="005021D3">
        <w:rPr>
          <w:lang w:eastAsia="pl-PL"/>
        </w:rPr>
        <w:lastRenderedPageBreak/>
        <w:t>Szczegół</w:t>
      </w:r>
      <w:r>
        <w:rPr>
          <w:lang w:eastAsia="pl-PL"/>
        </w:rPr>
        <w:t>owe zasady przyznawania wsparcia w ramach Priorytetu 1b</w:t>
      </w:r>
      <w:r w:rsidRPr="005021D3">
        <w:rPr>
          <w:lang w:eastAsia="pl-PL"/>
        </w:rPr>
        <w:t xml:space="preserve">, w tym </w:t>
      </w:r>
      <w:r>
        <w:rPr>
          <w:lang w:eastAsia="pl-PL"/>
        </w:rPr>
        <w:t xml:space="preserve">minimalna oraz </w:t>
      </w:r>
      <w:r w:rsidRPr="005021D3">
        <w:rPr>
          <w:lang w:eastAsia="pl-PL"/>
        </w:rPr>
        <w:t>maksymalna wysokość</w:t>
      </w:r>
      <w:r>
        <w:rPr>
          <w:lang w:eastAsia="pl-PL"/>
        </w:rPr>
        <w:t xml:space="preserve"> dotacji</w:t>
      </w:r>
      <w:r w:rsidRPr="005021D3">
        <w:rPr>
          <w:lang w:eastAsia="pl-PL"/>
        </w:rPr>
        <w:t xml:space="preserve">, </w:t>
      </w:r>
      <w:r>
        <w:rPr>
          <w:lang w:eastAsia="pl-PL"/>
        </w:rPr>
        <w:t>wymagania dotyczące okresu wykorzystania środków pochodzących z Programu</w:t>
      </w:r>
      <w:r w:rsidRPr="00F6034A">
        <w:rPr>
          <w:lang w:eastAsia="pl-PL"/>
        </w:rPr>
        <w:t xml:space="preserve"> </w:t>
      </w:r>
      <w:r w:rsidRPr="005021D3">
        <w:rPr>
          <w:lang w:eastAsia="pl-PL"/>
        </w:rPr>
        <w:t>z</w:t>
      </w:r>
      <w:r>
        <w:rPr>
          <w:lang w:eastAsia="pl-PL"/>
        </w:rPr>
        <w:t>ostaną każd</w:t>
      </w:r>
      <w:r w:rsidR="006265B7">
        <w:rPr>
          <w:lang w:eastAsia="pl-PL"/>
        </w:rPr>
        <w:t>orazowo określone we właściwym regulaminie k</w:t>
      </w:r>
      <w:r w:rsidRPr="005021D3">
        <w:rPr>
          <w:lang w:eastAsia="pl-PL"/>
        </w:rPr>
        <w:t>onkursu</w:t>
      </w:r>
      <w:r w:rsidR="006265B7">
        <w:rPr>
          <w:lang w:eastAsia="pl-PL"/>
        </w:rPr>
        <w:t>. Regulamin k</w:t>
      </w:r>
      <w:r>
        <w:rPr>
          <w:lang w:eastAsia="pl-PL"/>
        </w:rPr>
        <w:t>onkursu będzie dodatkowo definiował kryteria formalne i merytoryczne oraz procedurę wyboru organizacji uzyskujących dofinansowanie w ramach dotacji na wkłady własne.</w:t>
      </w:r>
    </w:p>
    <w:p w14:paraId="508542EB" w14:textId="5EAD6620" w:rsidR="00B2612B" w:rsidRPr="005021D3" w:rsidRDefault="00B2612B" w:rsidP="00B2612B">
      <w:pPr>
        <w:pStyle w:val="Nagwek2"/>
        <w:rPr>
          <w:rFonts w:eastAsia="Times New Roman"/>
        </w:rPr>
      </w:pPr>
      <w:bookmarkStart w:id="61" w:name="_Toc506902129"/>
      <w:bookmarkStart w:id="62" w:name="_Toc508718542"/>
      <w:r w:rsidRPr="005021D3">
        <w:rPr>
          <w:rFonts w:eastAsia="Times New Roman"/>
        </w:rPr>
        <w:t>Priorytet 2</w:t>
      </w:r>
      <w:r w:rsidR="00E95396">
        <w:rPr>
          <w:rFonts w:eastAsia="Times New Roman"/>
        </w:rPr>
        <w:t>.</w:t>
      </w:r>
      <w:r w:rsidRPr="005021D3">
        <w:rPr>
          <w:rFonts w:eastAsia="Times New Roman"/>
        </w:rPr>
        <w:t xml:space="preserve"> Kapitały żelazne</w:t>
      </w:r>
      <w:bookmarkEnd w:id="61"/>
      <w:bookmarkEnd w:id="62"/>
    </w:p>
    <w:p w14:paraId="236512A1" w14:textId="0885543B" w:rsidR="00B2612B" w:rsidRPr="005021D3" w:rsidRDefault="00B2612B" w:rsidP="00B2612B">
      <w:pPr>
        <w:spacing w:after="0"/>
        <w:rPr>
          <w:rFonts w:eastAsia="Calibri" w:cs="Calibri Light"/>
          <w:color w:val="454545"/>
          <w:szCs w:val="24"/>
          <w:lang w:eastAsia="pl-PL"/>
        </w:rPr>
      </w:pPr>
      <w:r w:rsidRPr="005021D3">
        <w:rPr>
          <w:rFonts w:eastAsia="Calibri" w:cs="Calibri Light"/>
          <w:color w:val="454545"/>
          <w:szCs w:val="24"/>
          <w:lang w:eastAsia="pl-PL"/>
        </w:rPr>
        <w:t>Stanowiące owoc filantropii indywidualnej i korporacyjnej, nienaruszalne, bezpiecznie inwestowane i z</w:t>
      </w:r>
      <w:r>
        <w:rPr>
          <w:rFonts w:eastAsia="Calibri" w:cs="Calibri Light"/>
          <w:color w:val="454545"/>
          <w:szCs w:val="24"/>
          <w:lang w:eastAsia="pl-PL"/>
        </w:rPr>
        <w:t>arządzane w spos</w:t>
      </w:r>
      <w:r w:rsidR="00E81EC6">
        <w:rPr>
          <w:rFonts w:eastAsia="Calibri" w:cs="Calibri Light"/>
          <w:color w:val="454545"/>
          <w:szCs w:val="24"/>
          <w:lang w:eastAsia="pl-PL"/>
        </w:rPr>
        <w:t>ób przejrzysty kapitały żelazne</w:t>
      </w:r>
      <w:r>
        <w:rPr>
          <w:rFonts w:eastAsia="Calibri" w:cs="Calibri Light"/>
          <w:color w:val="454545"/>
          <w:szCs w:val="24"/>
          <w:lang w:eastAsia="pl-PL"/>
        </w:rPr>
        <w:t xml:space="preserve"> </w:t>
      </w:r>
      <w:r w:rsidRPr="005021D3">
        <w:rPr>
          <w:rFonts w:eastAsia="Calibri" w:cs="Calibri Light"/>
          <w:color w:val="454545"/>
          <w:szCs w:val="24"/>
          <w:lang w:eastAsia="pl-PL"/>
        </w:rPr>
        <w:t>umożliwiają realizacj</w:t>
      </w:r>
      <w:r>
        <w:rPr>
          <w:rFonts w:eastAsia="Calibri" w:cs="Calibri Light"/>
          <w:color w:val="454545"/>
          <w:szCs w:val="24"/>
          <w:lang w:eastAsia="pl-PL"/>
        </w:rPr>
        <w:t>ę długofalowych</w:t>
      </w:r>
      <w:r w:rsidRPr="005021D3">
        <w:rPr>
          <w:rFonts w:eastAsia="Calibri" w:cs="Calibri Light"/>
          <w:color w:val="454545"/>
          <w:szCs w:val="24"/>
          <w:lang w:eastAsia="pl-PL"/>
        </w:rPr>
        <w:t xml:space="preserve"> strategii</w:t>
      </w:r>
      <w:r>
        <w:rPr>
          <w:rFonts w:eastAsia="Calibri" w:cs="Calibri Light"/>
          <w:color w:val="454545"/>
          <w:szCs w:val="24"/>
          <w:lang w:eastAsia="pl-PL"/>
        </w:rPr>
        <w:t xml:space="preserve"> wspierania celów społecznych. W</w:t>
      </w:r>
      <w:r w:rsidR="00E81EC6">
        <w:rPr>
          <w:rFonts w:eastAsia="Calibri" w:cs="Calibri Light"/>
          <w:color w:val="454545"/>
          <w:szCs w:val="24"/>
          <w:lang w:eastAsia="pl-PL"/>
        </w:rPr>
        <w:t xml:space="preserve"> ramach P</w:t>
      </w:r>
      <w:r w:rsidRPr="005021D3">
        <w:rPr>
          <w:rFonts w:eastAsia="Calibri" w:cs="Calibri Light"/>
          <w:color w:val="454545"/>
          <w:szCs w:val="24"/>
          <w:lang w:eastAsia="pl-PL"/>
        </w:rPr>
        <w:t>riory</w:t>
      </w:r>
      <w:r w:rsidR="00E81EC6">
        <w:rPr>
          <w:rFonts w:eastAsia="Calibri" w:cs="Calibri Light"/>
          <w:color w:val="454545"/>
          <w:szCs w:val="24"/>
          <w:lang w:eastAsia="pl-PL"/>
        </w:rPr>
        <w:t xml:space="preserve">tetu 2 </w:t>
      </w:r>
      <w:r w:rsidRPr="005021D3">
        <w:rPr>
          <w:rFonts w:eastAsia="Calibri" w:cs="Calibri Light"/>
          <w:color w:val="454545"/>
          <w:szCs w:val="24"/>
          <w:lang w:eastAsia="pl-PL"/>
        </w:rPr>
        <w:t xml:space="preserve">w </w:t>
      </w:r>
      <w:r>
        <w:rPr>
          <w:rFonts w:eastAsia="Calibri" w:cs="Calibri Light"/>
          <w:color w:val="454545"/>
          <w:szCs w:val="24"/>
          <w:lang w:eastAsia="pl-PL"/>
        </w:rPr>
        <w:t xml:space="preserve">pierwszej kolejności </w:t>
      </w:r>
      <w:r w:rsidR="00AB79EE">
        <w:rPr>
          <w:rFonts w:eastAsia="Calibri" w:cs="Calibri Light"/>
          <w:color w:val="454545"/>
          <w:szCs w:val="24"/>
          <w:lang w:eastAsia="pl-PL"/>
        </w:rPr>
        <w:t>(P</w:t>
      </w:r>
      <w:r w:rsidR="00AB79EE" w:rsidRPr="005021D3">
        <w:rPr>
          <w:rFonts w:eastAsia="Calibri" w:cs="Calibri Light"/>
          <w:color w:val="454545"/>
          <w:szCs w:val="24"/>
          <w:lang w:eastAsia="pl-PL"/>
        </w:rPr>
        <w:t>riorytet 2a)</w:t>
      </w:r>
      <w:r w:rsidR="00AB79EE">
        <w:rPr>
          <w:rFonts w:eastAsia="Calibri" w:cs="Calibri Light"/>
          <w:color w:val="454545"/>
          <w:szCs w:val="24"/>
          <w:lang w:eastAsia="pl-PL"/>
        </w:rPr>
        <w:t xml:space="preserve"> zakłada się wsparcie projektów</w:t>
      </w:r>
      <w:r w:rsidRPr="005021D3">
        <w:rPr>
          <w:rFonts w:eastAsia="Calibri" w:cs="Calibri Light"/>
          <w:color w:val="454545"/>
          <w:szCs w:val="24"/>
          <w:lang w:eastAsia="pl-PL"/>
        </w:rPr>
        <w:t xml:space="preserve">, których celem będzie przygotowanie </w:t>
      </w:r>
      <w:r w:rsidR="00E81EC6">
        <w:rPr>
          <w:rFonts w:eastAsia="Calibri" w:cs="Calibri Light"/>
          <w:color w:val="454545"/>
          <w:szCs w:val="24"/>
          <w:lang w:eastAsia="pl-PL"/>
        </w:rPr>
        <w:br/>
      </w:r>
      <w:r w:rsidRPr="005021D3">
        <w:rPr>
          <w:rFonts w:eastAsia="Calibri" w:cs="Calibri Light"/>
          <w:color w:val="454545"/>
          <w:szCs w:val="24"/>
          <w:lang w:eastAsia="pl-PL"/>
        </w:rPr>
        <w:t>i realizacja działań zmierzających do zbudowania</w:t>
      </w:r>
      <w:r w:rsidR="00E81EC6">
        <w:rPr>
          <w:rFonts w:eastAsia="Calibri" w:cs="Calibri Light"/>
          <w:color w:val="454545"/>
          <w:szCs w:val="24"/>
          <w:lang w:eastAsia="pl-PL"/>
        </w:rPr>
        <w:t>,</w:t>
      </w:r>
      <w:r w:rsidRPr="005021D3">
        <w:rPr>
          <w:rFonts w:eastAsia="Calibri" w:cs="Calibri Light"/>
          <w:color w:val="454545"/>
          <w:szCs w:val="24"/>
          <w:lang w:eastAsia="pl-PL"/>
        </w:rPr>
        <w:t xml:space="preserve"> w oparciu o lokalne środowisko organizacji, jej partnerów społecznych i publicznych, początkowych kapitałów żelaz</w:t>
      </w:r>
      <w:r w:rsidR="00E81EC6">
        <w:rPr>
          <w:rFonts w:eastAsia="Calibri" w:cs="Calibri Light"/>
          <w:color w:val="454545"/>
          <w:szCs w:val="24"/>
          <w:lang w:eastAsia="pl-PL"/>
        </w:rPr>
        <w:t>nych organizacji obywatelskich. N</w:t>
      </w:r>
      <w:r w:rsidRPr="005021D3">
        <w:rPr>
          <w:rFonts w:eastAsia="Calibri" w:cs="Calibri Light"/>
          <w:color w:val="454545"/>
          <w:szCs w:val="24"/>
          <w:lang w:eastAsia="pl-PL"/>
        </w:rPr>
        <w:t xml:space="preserve">astępnie </w:t>
      </w:r>
      <w:r w:rsidR="00880C21">
        <w:rPr>
          <w:rFonts w:eastAsia="Calibri" w:cs="Calibri Light"/>
          <w:color w:val="454545"/>
          <w:szCs w:val="24"/>
          <w:lang w:eastAsia="pl-PL"/>
        </w:rPr>
        <w:t xml:space="preserve">wsparcie uzyskają </w:t>
      </w:r>
      <w:r w:rsidRPr="005021D3">
        <w:rPr>
          <w:rFonts w:eastAsia="Calibri" w:cs="Calibri Light"/>
          <w:color w:val="454545"/>
          <w:szCs w:val="24"/>
          <w:lang w:eastAsia="pl-PL"/>
        </w:rPr>
        <w:t>początkowe</w:t>
      </w:r>
      <w:r>
        <w:rPr>
          <w:rFonts w:eastAsia="Calibri" w:cs="Calibri Light"/>
          <w:color w:val="454545"/>
          <w:szCs w:val="24"/>
          <w:lang w:eastAsia="pl-PL"/>
        </w:rPr>
        <w:t xml:space="preserve"> kapitały żelazne organizacji (P</w:t>
      </w:r>
      <w:r w:rsidR="00E81EC6">
        <w:rPr>
          <w:rFonts w:eastAsia="Calibri" w:cs="Calibri Light"/>
          <w:color w:val="454545"/>
          <w:szCs w:val="24"/>
          <w:lang w:eastAsia="pl-PL"/>
        </w:rPr>
        <w:t>riorytet 2b) w ustalonej w regulaminie konkursu proporcji</w:t>
      </w:r>
      <w:r w:rsidRPr="005021D3">
        <w:rPr>
          <w:rFonts w:eastAsia="Calibri" w:cs="Calibri Light"/>
          <w:color w:val="454545"/>
          <w:szCs w:val="24"/>
          <w:lang w:eastAsia="pl-PL"/>
        </w:rPr>
        <w:t xml:space="preserve"> pod warunkiem, że zebrane przez organizację środki na początkowy kapitał żelazny przekrocz</w:t>
      </w:r>
      <w:r>
        <w:rPr>
          <w:rFonts w:eastAsia="Calibri" w:cs="Calibri Light"/>
          <w:color w:val="454545"/>
          <w:szCs w:val="24"/>
          <w:lang w:eastAsia="pl-PL"/>
        </w:rPr>
        <w:t>ą wartość minimalną określoną w</w:t>
      </w:r>
      <w:r w:rsidR="00E81EC6">
        <w:rPr>
          <w:rFonts w:eastAsia="Calibri" w:cs="Calibri Light"/>
          <w:color w:val="454545"/>
          <w:szCs w:val="24"/>
          <w:lang w:eastAsia="pl-PL"/>
        </w:rPr>
        <w:t xml:space="preserve"> r</w:t>
      </w:r>
      <w:r w:rsidRPr="005021D3">
        <w:rPr>
          <w:rFonts w:eastAsia="Calibri" w:cs="Calibri Light"/>
          <w:color w:val="454545"/>
          <w:szCs w:val="24"/>
          <w:lang w:eastAsia="pl-PL"/>
        </w:rPr>
        <w:t>egulaminie konkursu.</w:t>
      </w:r>
      <w:r w:rsidR="00E81EC6">
        <w:rPr>
          <w:rFonts w:eastAsia="Calibri" w:cs="Calibri Light"/>
          <w:color w:val="454545"/>
          <w:szCs w:val="24"/>
          <w:lang w:eastAsia="pl-PL"/>
        </w:rPr>
        <w:t xml:space="preserve"> W ramach Priorytetu 2</w:t>
      </w:r>
      <w:r>
        <w:rPr>
          <w:rFonts w:eastAsia="Calibri" w:cs="Calibri Light"/>
          <w:color w:val="454545"/>
          <w:szCs w:val="24"/>
          <w:lang w:eastAsia="pl-PL"/>
        </w:rPr>
        <w:t xml:space="preserve"> możliwe będzie także uzyskanie wsparcia dla istniejących kapitałów żelaznych (Pri</w:t>
      </w:r>
      <w:r w:rsidR="00880C21">
        <w:rPr>
          <w:rFonts w:eastAsia="Calibri" w:cs="Calibri Light"/>
          <w:color w:val="454545"/>
          <w:szCs w:val="24"/>
          <w:lang w:eastAsia="pl-PL"/>
        </w:rPr>
        <w:t>orytet 2c). Zaplanowana została</w:t>
      </w:r>
      <w:r>
        <w:rPr>
          <w:rFonts w:eastAsia="Calibri" w:cs="Calibri Light"/>
          <w:color w:val="454545"/>
          <w:szCs w:val="24"/>
          <w:lang w:eastAsia="pl-PL"/>
        </w:rPr>
        <w:t xml:space="preserve"> możliwość dokapitalizowania zarówno kapitałów żelaznych utworzonych w wyniku wsparcia w ramach Programu</w:t>
      </w:r>
      <w:r w:rsidR="00E81EC6">
        <w:rPr>
          <w:rFonts w:eastAsia="Calibri" w:cs="Calibri Light"/>
          <w:color w:val="454545"/>
          <w:szCs w:val="24"/>
          <w:lang w:eastAsia="pl-PL"/>
        </w:rPr>
        <w:t>,</w:t>
      </w:r>
      <w:r>
        <w:rPr>
          <w:rFonts w:eastAsia="Calibri" w:cs="Calibri Light"/>
          <w:color w:val="454545"/>
          <w:szCs w:val="24"/>
          <w:lang w:eastAsia="pl-PL"/>
        </w:rPr>
        <w:t xml:space="preserve"> jak również takich, które zostały zbudowane przy wykorzystaniu innych źródeł finansowania.</w:t>
      </w:r>
    </w:p>
    <w:p w14:paraId="77887B7C" w14:textId="77777777" w:rsidR="00B2612B" w:rsidRPr="005021D3" w:rsidRDefault="00B2612B" w:rsidP="00B2612B">
      <w:pPr>
        <w:pStyle w:val="Nagwek3"/>
        <w:rPr>
          <w:rFonts w:eastAsia="Calibri"/>
          <w:lang w:eastAsia="pl-PL"/>
        </w:rPr>
      </w:pPr>
      <w:bookmarkStart w:id="63" w:name="_Toc508718543"/>
      <w:r w:rsidRPr="005021D3">
        <w:rPr>
          <w:rFonts w:eastAsia="Calibri"/>
          <w:lang w:eastAsia="pl-PL"/>
        </w:rPr>
        <w:t>Priorytet 2a. Dotacje operacyjne na wsparcie budowania początkowych kapitałów żelaznych</w:t>
      </w:r>
      <w:bookmarkEnd w:id="63"/>
    </w:p>
    <w:p w14:paraId="49F62B73" w14:textId="07AE67E0" w:rsidR="00B2612B" w:rsidRPr="005021D3" w:rsidRDefault="00B2612B" w:rsidP="00B2612B">
      <w:pPr>
        <w:rPr>
          <w:lang w:eastAsia="pl-PL"/>
        </w:rPr>
      </w:pPr>
      <w:r w:rsidRPr="005021D3">
        <w:rPr>
          <w:lang w:eastAsia="pl-PL"/>
        </w:rPr>
        <w:t xml:space="preserve">Doświadczenia </w:t>
      </w:r>
      <w:r>
        <w:rPr>
          <w:lang w:eastAsia="pl-PL"/>
        </w:rPr>
        <w:t xml:space="preserve">organizacji, które budują </w:t>
      </w:r>
      <w:r w:rsidRPr="005021D3">
        <w:rPr>
          <w:lang w:eastAsia="pl-PL"/>
        </w:rPr>
        <w:t xml:space="preserve">stabilność </w:t>
      </w:r>
      <w:r>
        <w:rPr>
          <w:lang w:eastAsia="pl-PL"/>
        </w:rPr>
        <w:t xml:space="preserve">realizacji celów </w:t>
      </w:r>
      <w:r w:rsidRPr="005021D3">
        <w:rPr>
          <w:lang w:eastAsia="pl-PL"/>
        </w:rPr>
        <w:t>w oparciu o kapitał żelazny pok</w:t>
      </w:r>
      <w:r w:rsidR="00AB79EE">
        <w:rPr>
          <w:lang w:eastAsia="pl-PL"/>
        </w:rPr>
        <w:t>azują, że jest to</w:t>
      </w:r>
      <w:r w:rsidRPr="005021D3">
        <w:rPr>
          <w:lang w:eastAsia="pl-PL"/>
        </w:rPr>
        <w:t xml:space="preserve"> </w:t>
      </w:r>
      <w:r w:rsidR="00AB79EE">
        <w:rPr>
          <w:lang w:eastAsia="pl-PL"/>
        </w:rPr>
        <w:t>trudny, wymagający</w:t>
      </w:r>
      <w:r>
        <w:rPr>
          <w:lang w:eastAsia="pl-PL"/>
        </w:rPr>
        <w:t xml:space="preserve"> czasu oraz znaczącego zaangażowania operacyjnego</w:t>
      </w:r>
      <w:r w:rsidR="00AB79EE">
        <w:rPr>
          <w:lang w:eastAsia="pl-PL"/>
        </w:rPr>
        <w:t xml:space="preserve"> proces. Dodatkowo działania podejmowane w związku z budowaniem</w:t>
      </w:r>
      <w:r>
        <w:rPr>
          <w:lang w:eastAsia="pl-PL"/>
        </w:rPr>
        <w:t xml:space="preserve"> kapitału żelaznego </w:t>
      </w:r>
      <w:r w:rsidRPr="005021D3">
        <w:rPr>
          <w:lang w:eastAsia="pl-PL"/>
        </w:rPr>
        <w:t xml:space="preserve">nie </w:t>
      </w:r>
      <w:r w:rsidR="00AB79EE">
        <w:rPr>
          <w:lang w:eastAsia="pl-PL"/>
        </w:rPr>
        <w:t xml:space="preserve">mogą </w:t>
      </w:r>
      <w:r>
        <w:rPr>
          <w:lang w:eastAsia="pl-PL"/>
        </w:rPr>
        <w:t xml:space="preserve">negatywnie wpływać na skuteczność </w:t>
      </w:r>
      <w:r w:rsidR="00AB79EE">
        <w:rPr>
          <w:lang w:eastAsia="pl-PL"/>
        </w:rPr>
        <w:t xml:space="preserve">bieżącej </w:t>
      </w:r>
      <w:r w:rsidRPr="005021D3">
        <w:rPr>
          <w:lang w:eastAsia="pl-PL"/>
        </w:rPr>
        <w:t xml:space="preserve">działalności </w:t>
      </w:r>
      <w:r>
        <w:rPr>
          <w:lang w:eastAsia="pl-PL"/>
        </w:rPr>
        <w:t>organizacji</w:t>
      </w:r>
      <w:r w:rsidRPr="005021D3">
        <w:rPr>
          <w:lang w:eastAsia="pl-PL"/>
        </w:rPr>
        <w:t xml:space="preserve">. </w:t>
      </w:r>
      <w:r>
        <w:rPr>
          <w:lang w:eastAsia="pl-PL"/>
        </w:rPr>
        <w:t xml:space="preserve">Strategia tworzenia </w:t>
      </w:r>
      <w:r w:rsidRPr="005021D3">
        <w:rPr>
          <w:lang w:eastAsia="pl-PL"/>
        </w:rPr>
        <w:t>kap</w:t>
      </w:r>
      <w:r>
        <w:rPr>
          <w:lang w:eastAsia="pl-PL"/>
        </w:rPr>
        <w:t>itału żelaznego</w:t>
      </w:r>
      <w:r w:rsidRPr="005021D3">
        <w:rPr>
          <w:lang w:eastAsia="pl-PL"/>
        </w:rPr>
        <w:t xml:space="preserve"> </w:t>
      </w:r>
      <w:r>
        <w:rPr>
          <w:lang w:eastAsia="pl-PL"/>
        </w:rPr>
        <w:t xml:space="preserve">powinna zakładać włączanie </w:t>
      </w:r>
      <w:r w:rsidRPr="005021D3">
        <w:rPr>
          <w:lang w:eastAsia="pl-PL"/>
        </w:rPr>
        <w:t>zidentyfikowanych w środowisku lokalnym interesariuszy</w:t>
      </w:r>
      <w:r>
        <w:rPr>
          <w:lang w:eastAsia="pl-PL"/>
        </w:rPr>
        <w:t xml:space="preserve"> (np. majętne osoby prywatne, lokalne</w:t>
      </w:r>
      <w:r w:rsidRPr="005021D3">
        <w:rPr>
          <w:lang w:eastAsia="pl-PL"/>
        </w:rPr>
        <w:t xml:space="preserve"> przedsiębiorstwa, które w idei budowy kapitałów żelaznych odnajdą jeden z celów swoje społecznej odpowiedzialności</w:t>
      </w:r>
      <w:r>
        <w:rPr>
          <w:lang w:eastAsia="pl-PL"/>
        </w:rPr>
        <w:t>, itp.)</w:t>
      </w:r>
      <w:r w:rsidRPr="005021D3">
        <w:rPr>
          <w:lang w:eastAsia="pl-PL"/>
        </w:rPr>
        <w:t xml:space="preserve">. Z całą pewnością proces budowania kapitałów żelaznych powinien zostać wsparty przez </w:t>
      </w:r>
      <w:r>
        <w:rPr>
          <w:lang w:eastAsia="pl-PL"/>
        </w:rPr>
        <w:t>samorządy lokalne</w:t>
      </w:r>
      <w:r w:rsidRPr="005021D3">
        <w:rPr>
          <w:lang w:eastAsia="pl-PL"/>
        </w:rPr>
        <w:t>, które mogą udzielić mu poparcia</w:t>
      </w:r>
      <w:r>
        <w:rPr>
          <w:lang w:eastAsia="pl-PL"/>
        </w:rPr>
        <w:t xml:space="preserve"> w formie co najmniej patronatu, </w:t>
      </w:r>
      <w:r w:rsidRPr="005021D3">
        <w:rPr>
          <w:lang w:eastAsia="pl-PL"/>
        </w:rPr>
        <w:t xml:space="preserve">aż po </w:t>
      </w:r>
      <w:r>
        <w:rPr>
          <w:lang w:eastAsia="pl-PL"/>
        </w:rPr>
        <w:lastRenderedPageBreak/>
        <w:t xml:space="preserve">zaangażowanie </w:t>
      </w:r>
      <w:r w:rsidRPr="005021D3">
        <w:rPr>
          <w:lang w:eastAsia="pl-PL"/>
        </w:rPr>
        <w:t xml:space="preserve">finansowe. </w:t>
      </w:r>
      <w:r>
        <w:rPr>
          <w:lang w:eastAsia="pl-PL"/>
        </w:rPr>
        <w:t>O</w:t>
      </w:r>
      <w:r w:rsidRPr="005021D3">
        <w:rPr>
          <w:lang w:eastAsia="pl-PL"/>
        </w:rPr>
        <w:t>rganizacje pozarządowe przystępujące do tworzenia początkowych kapitałów żelaznych winny uczynić wszystko</w:t>
      </w:r>
      <w:r w:rsidR="00E81EC6">
        <w:rPr>
          <w:lang w:eastAsia="pl-PL"/>
        </w:rPr>
        <w:t>,</w:t>
      </w:r>
      <w:r w:rsidRPr="005021D3">
        <w:rPr>
          <w:lang w:eastAsia="pl-PL"/>
        </w:rPr>
        <w:t xml:space="preserve"> co w ich mocy, aby zmobilizować lokalne struktury obywatelskie do wsparcia ich inicjatywy. Tylko wtedy taka inicjatywa obywatelska staje się wiarygodna i ma szansę </w:t>
      </w:r>
      <w:r>
        <w:rPr>
          <w:lang w:eastAsia="pl-PL"/>
        </w:rPr>
        <w:t>odnosić sukcesy w dłuższej perspektywie. W ramach Priorytetu </w:t>
      </w:r>
      <w:r w:rsidRPr="005021D3">
        <w:rPr>
          <w:lang w:eastAsia="pl-PL"/>
        </w:rPr>
        <w:t xml:space="preserve">2a </w:t>
      </w:r>
      <w:r w:rsidR="00A65C05">
        <w:rPr>
          <w:lang w:eastAsia="pl-PL"/>
        </w:rPr>
        <w:t>zaplanowano</w:t>
      </w:r>
      <w:r>
        <w:rPr>
          <w:lang w:eastAsia="pl-PL"/>
        </w:rPr>
        <w:t xml:space="preserve"> </w:t>
      </w:r>
      <w:r w:rsidRPr="005021D3">
        <w:rPr>
          <w:lang w:eastAsia="pl-PL"/>
        </w:rPr>
        <w:t>udzi</w:t>
      </w:r>
      <w:r>
        <w:rPr>
          <w:lang w:eastAsia="pl-PL"/>
        </w:rPr>
        <w:t>elanie organizacjom obywatelskim</w:t>
      </w:r>
      <w:r w:rsidRPr="005021D3">
        <w:rPr>
          <w:lang w:eastAsia="pl-PL"/>
        </w:rPr>
        <w:t xml:space="preserve"> </w:t>
      </w:r>
      <w:r>
        <w:rPr>
          <w:lang w:eastAsia="pl-PL"/>
        </w:rPr>
        <w:t>dotacji operacyjnych</w:t>
      </w:r>
      <w:r w:rsidRPr="005021D3">
        <w:rPr>
          <w:lang w:eastAsia="pl-PL"/>
        </w:rPr>
        <w:t xml:space="preserve"> </w:t>
      </w:r>
      <w:r>
        <w:rPr>
          <w:lang w:eastAsia="pl-PL"/>
        </w:rPr>
        <w:t xml:space="preserve">na </w:t>
      </w:r>
      <w:r w:rsidR="00AB79EE">
        <w:rPr>
          <w:lang w:eastAsia="pl-PL"/>
        </w:rPr>
        <w:t xml:space="preserve">wsparcie </w:t>
      </w:r>
      <w:r w:rsidRPr="005021D3">
        <w:rPr>
          <w:lang w:eastAsia="pl-PL"/>
        </w:rPr>
        <w:t xml:space="preserve">budowania </w:t>
      </w:r>
      <w:r>
        <w:rPr>
          <w:lang w:eastAsia="pl-PL"/>
        </w:rPr>
        <w:t xml:space="preserve">początkowych </w:t>
      </w:r>
      <w:r w:rsidRPr="005021D3">
        <w:rPr>
          <w:lang w:eastAsia="pl-PL"/>
        </w:rPr>
        <w:t>kapitałów żelaznych pod warunkiem zaangażowania wiarygodnych partnerów społecznych</w:t>
      </w:r>
      <w:r>
        <w:rPr>
          <w:lang w:eastAsia="pl-PL"/>
        </w:rPr>
        <w:t xml:space="preserve">, publicznych i prywatnych oraz </w:t>
      </w:r>
      <w:r w:rsidRPr="005021D3">
        <w:rPr>
          <w:lang w:eastAsia="pl-PL"/>
        </w:rPr>
        <w:t>przedstaw</w:t>
      </w:r>
      <w:r>
        <w:rPr>
          <w:lang w:eastAsia="pl-PL"/>
        </w:rPr>
        <w:t xml:space="preserve">ienia </w:t>
      </w:r>
      <w:r w:rsidR="00880C21">
        <w:rPr>
          <w:lang w:eastAsia="pl-PL"/>
        </w:rPr>
        <w:t>realnej</w:t>
      </w:r>
      <w:r w:rsidRPr="005021D3">
        <w:rPr>
          <w:lang w:eastAsia="pl-PL"/>
        </w:rPr>
        <w:t xml:space="preserve"> </w:t>
      </w:r>
      <w:r>
        <w:rPr>
          <w:lang w:eastAsia="pl-PL"/>
        </w:rPr>
        <w:t xml:space="preserve">strategii działań na rzecz utworzenia kapitału żelaznego. Szczegółowe reguły dotyczące udzielanego </w:t>
      </w:r>
      <w:r w:rsidRPr="005021D3">
        <w:rPr>
          <w:lang w:eastAsia="pl-PL"/>
        </w:rPr>
        <w:t>wsparcia,</w:t>
      </w:r>
      <w:r>
        <w:rPr>
          <w:lang w:eastAsia="pl-PL"/>
        </w:rPr>
        <w:t xml:space="preserve"> </w:t>
      </w:r>
      <w:r w:rsidRPr="005021D3">
        <w:rPr>
          <w:lang w:eastAsia="pl-PL"/>
        </w:rPr>
        <w:t xml:space="preserve">w tym jego maksymalna wysokość, nieprzekraczalny czas trwania projektu </w:t>
      </w:r>
      <w:r w:rsidR="00E81EC6">
        <w:rPr>
          <w:lang w:eastAsia="pl-PL"/>
        </w:rPr>
        <w:t>polegającego na budowaniu kapitału żelaznego oraz</w:t>
      </w:r>
      <w:r w:rsidRPr="005021D3">
        <w:rPr>
          <w:lang w:eastAsia="pl-PL"/>
        </w:rPr>
        <w:t xml:space="preserve"> warunki wymagane od organizacji i jej partnerów przystępujących d</w:t>
      </w:r>
      <w:r w:rsidR="00E81EC6">
        <w:rPr>
          <w:lang w:eastAsia="pl-PL"/>
        </w:rPr>
        <w:t>o projektu zostaną określone w r</w:t>
      </w:r>
      <w:r w:rsidRPr="005021D3">
        <w:rPr>
          <w:lang w:eastAsia="pl-PL"/>
        </w:rPr>
        <w:t>egulaminie konkursu na dotacje operacyjne na wsparcie budowania po</w:t>
      </w:r>
      <w:r>
        <w:rPr>
          <w:lang w:eastAsia="pl-PL"/>
        </w:rPr>
        <w:t>czątkowych kapitałów żelaznych.</w:t>
      </w:r>
    </w:p>
    <w:p w14:paraId="03EDA7BC" w14:textId="77777777" w:rsidR="00B2612B" w:rsidRPr="005021D3" w:rsidRDefault="00B2612B" w:rsidP="00B2612B">
      <w:pPr>
        <w:pStyle w:val="Nagwek3"/>
        <w:rPr>
          <w:rFonts w:eastAsia="Calibri"/>
          <w:lang w:eastAsia="pl-PL"/>
        </w:rPr>
      </w:pPr>
      <w:bookmarkStart w:id="64" w:name="_Toc508718544"/>
      <w:r w:rsidRPr="005021D3">
        <w:rPr>
          <w:rFonts w:eastAsia="Calibri"/>
          <w:lang w:eastAsia="pl-PL"/>
        </w:rPr>
        <w:t>Priorytet 2b. Dofinansowanie początkowych kapitałów żelaznych</w:t>
      </w:r>
      <w:bookmarkEnd w:id="64"/>
    </w:p>
    <w:p w14:paraId="4F487950" w14:textId="026F1B70" w:rsidR="00B2612B" w:rsidRPr="005021D3" w:rsidRDefault="00B2612B" w:rsidP="00B2612B">
      <w:pPr>
        <w:rPr>
          <w:lang w:eastAsia="pl-PL"/>
        </w:rPr>
      </w:pPr>
      <w:r w:rsidRPr="005021D3">
        <w:rPr>
          <w:lang w:eastAsia="pl-PL"/>
        </w:rPr>
        <w:t xml:space="preserve">Jednym z warunków powodzenia tworzenia początkowego kapitału żelaznego jest uzyskanie efektu skali przedsięwzięcia. Zainteresowana stworzeniem kapitału żelaznego organizacja zrealizuje projekt </w:t>
      </w:r>
      <w:proofErr w:type="spellStart"/>
      <w:r w:rsidRPr="005021D3">
        <w:rPr>
          <w:lang w:eastAsia="pl-PL"/>
        </w:rPr>
        <w:t>fundraisingowy</w:t>
      </w:r>
      <w:proofErr w:type="spellEnd"/>
      <w:r w:rsidRPr="005021D3">
        <w:rPr>
          <w:lang w:eastAsia="pl-PL"/>
        </w:rPr>
        <w:t xml:space="preserve">, który pod warunkiem, że zebrane przez organizację środki </w:t>
      </w:r>
      <w:r>
        <w:rPr>
          <w:lang w:eastAsia="pl-PL"/>
        </w:rPr>
        <w:br/>
      </w:r>
      <w:r w:rsidRPr="005021D3">
        <w:rPr>
          <w:lang w:eastAsia="pl-PL"/>
        </w:rPr>
        <w:t>na początkowy kapitał żelaz</w:t>
      </w:r>
      <w:r>
        <w:rPr>
          <w:lang w:eastAsia="pl-PL"/>
        </w:rPr>
        <w:t xml:space="preserve">ny przekroczą określoną wartość minimalną, </w:t>
      </w:r>
      <w:r w:rsidRPr="005021D3">
        <w:rPr>
          <w:lang w:eastAsia="pl-PL"/>
        </w:rPr>
        <w:t xml:space="preserve">zostanie dofinansowany </w:t>
      </w:r>
      <w:r>
        <w:rPr>
          <w:lang w:eastAsia="pl-PL"/>
        </w:rPr>
        <w:t>w ramach Programu dotacją kapitałową</w:t>
      </w:r>
      <w:r w:rsidRPr="005021D3">
        <w:rPr>
          <w:lang w:eastAsia="pl-PL"/>
        </w:rPr>
        <w:t xml:space="preserve">. Szczegóły wsparcia, w tym jego maksymalna wysokość, </w:t>
      </w:r>
      <w:r>
        <w:rPr>
          <w:lang w:eastAsia="pl-PL"/>
        </w:rPr>
        <w:t>minimalna wartość początkowego kapitału żelaznego, który może zostać dokapitalizowany oraz zasady dokapitalizowania</w:t>
      </w:r>
      <w:r w:rsidRPr="005021D3">
        <w:rPr>
          <w:lang w:eastAsia="pl-PL"/>
        </w:rPr>
        <w:t>, warunki wymagane od organizacji i jej partne</w:t>
      </w:r>
      <w:r>
        <w:rPr>
          <w:lang w:eastAsia="pl-PL"/>
        </w:rPr>
        <w:t>rów przystępujących do projektu</w:t>
      </w:r>
      <w:r w:rsidR="00E81EC6">
        <w:rPr>
          <w:lang w:eastAsia="pl-PL"/>
        </w:rPr>
        <w:t>, zostaną określone w r</w:t>
      </w:r>
      <w:r w:rsidRPr="005021D3">
        <w:rPr>
          <w:lang w:eastAsia="pl-PL"/>
        </w:rPr>
        <w:t xml:space="preserve">egulaminie konkursu </w:t>
      </w:r>
      <w:r>
        <w:rPr>
          <w:lang w:eastAsia="pl-PL"/>
        </w:rPr>
        <w:br/>
      </w:r>
      <w:r w:rsidRPr="005021D3">
        <w:rPr>
          <w:lang w:eastAsia="pl-PL"/>
        </w:rPr>
        <w:t>na dofinansowanie po</w:t>
      </w:r>
      <w:r>
        <w:rPr>
          <w:lang w:eastAsia="pl-PL"/>
        </w:rPr>
        <w:t>czątkowych kapitałów żelaznych.</w:t>
      </w:r>
    </w:p>
    <w:p w14:paraId="2A62DDBC" w14:textId="77777777" w:rsidR="00B2612B" w:rsidRPr="005021D3" w:rsidRDefault="00B2612B" w:rsidP="00B2612B">
      <w:pPr>
        <w:pStyle w:val="Nagwek3"/>
        <w:rPr>
          <w:rFonts w:eastAsia="Calibri"/>
          <w:lang w:eastAsia="pl-PL"/>
        </w:rPr>
      </w:pPr>
      <w:bookmarkStart w:id="65" w:name="_Toc508718545"/>
      <w:r w:rsidRPr="005021D3">
        <w:rPr>
          <w:rFonts w:eastAsia="Calibri"/>
          <w:lang w:eastAsia="pl-PL"/>
        </w:rPr>
        <w:t>Priorytet 2c. Dofinansowanie rozbudowy kapitałów żelaznych</w:t>
      </w:r>
      <w:bookmarkEnd w:id="65"/>
    </w:p>
    <w:p w14:paraId="2DE14FD0" w14:textId="2273E9B3" w:rsidR="00B2612B" w:rsidRPr="005021D3" w:rsidRDefault="00B2612B" w:rsidP="00B2612B">
      <w:pPr>
        <w:rPr>
          <w:lang w:eastAsia="pl-PL"/>
        </w:rPr>
      </w:pPr>
      <w:r w:rsidRPr="005021D3">
        <w:rPr>
          <w:lang w:eastAsia="pl-PL"/>
        </w:rPr>
        <w:t xml:space="preserve">Zbyt często inicjowane przez organizacje obywatelskie i ich partnerów społecznych przedsięwzięcia </w:t>
      </w:r>
      <w:r>
        <w:rPr>
          <w:lang w:eastAsia="pl-PL"/>
        </w:rPr>
        <w:t xml:space="preserve">w zakresie budowania kapitałów żelaznych </w:t>
      </w:r>
      <w:r w:rsidRPr="005021D3">
        <w:rPr>
          <w:lang w:eastAsia="pl-PL"/>
        </w:rPr>
        <w:t xml:space="preserve">kończą się niepowodzeniem </w:t>
      </w:r>
      <w:r>
        <w:rPr>
          <w:lang w:eastAsia="pl-PL"/>
        </w:rPr>
        <w:br/>
      </w:r>
      <w:r w:rsidRPr="005021D3">
        <w:rPr>
          <w:lang w:eastAsia="pl-PL"/>
        </w:rPr>
        <w:t xml:space="preserve">na skutek braku dostatecznego wsparcia </w:t>
      </w:r>
      <w:r>
        <w:rPr>
          <w:lang w:eastAsia="pl-PL"/>
        </w:rPr>
        <w:t>w perspektywie długoterminowej</w:t>
      </w:r>
      <w:r w:rsidRPr="005021D3">
        <w:rPr>
          <w:lang w:eastAsia="pl-PL"/>
        </w:rPr>
        <w:t xml:space="preserve">. </w:t>
      </w:r>
      <w:r>
        <w:rPr>
          <w:lang w:eastAsia="pl-PL"/>
        </w:rPr>
        <w:t xml:space="preserve">Problem ten można zaobserwować między innymi w odniesieniu do wyników </w:t>
      </w:r>
      <w:r>
        <w:t>Programu Rozwoju Funduszy Lokalnych</w:t>
      </w:r>
      <w:r w:rsidRPr="005021D3">
        <w:rPr>
          <w:lang w:eastAsia="pl-PL"/>
        </w:rPr>
        <w:t xml:space="preserve">. W ramach pierwotnie stworzonej sieci organizacji lokalnych aspirujących </w:t>
      </w:r>
      <w:r w:rsidR="00A364EF">
        <w:rPr>
          <w:lang w:eastAsia="pl-PL"/>
        </w:rPr>
        <w:br/>
      </w:r>
      <w:r w:rsidRPr="005021D3">
        <w:rPr>
          <w:lang w:eastAsia="pl-PL"/>
        </w:rPr>
        <w:t xml:space="preserve">do odegrania roli funduszu lokalnego tylko części udało się zbudować początkowy kapitał żelazny, który został dofinansowany w ramach programu zarządzanego przez Akademię Rozwoju Filantropii w Polsce. </w:t>
      </w:r>
      <w:r w:rsidR="007B6ABD">
        <w:rPr>
          <w:lang w:eastAsia="pl-PL"/>
        </w:rPr>
        <w:t>N</w:t>
      </w:r>
      <w:r w:rsidRPr="005021D3">
        <w:rPr>
          <w:lang w:eastAsia="pl-PL"/>
        </w:rPr>
        <w:t>ieliczne z fundu</w:t>
      </w:r>
      <w:r w:rsidR="005C3F24">
        <w:rPr>
          <w:lang w:eastAsia="pl-PL"/>
        </w:rPr>
        <w:t xml:space="preserve">szy </w:t>
      </w:r>
      <w:r w:rsidR="007B6ABD">
        <w:rPr>
          <w:lang w:eastAsia="pl-PL"/>
        </w:rPr>
        <w:t xml:space="preserve">istnieją </w:t>
      </w:r>
      <w:r w:rsidR="005C3F24">
        <w:rPr>
          <w:lang w:eastAsia="pl-PL"/>
        </w:rPr>
        <w:t>do dziś i wypełniają</w:t>
      </w:r>
      <w:r w:rsidRPr="005021D3">
        <w:rPr>
          <w:lang w:eastAsia="pl-PL"/>
        </w:rPr>
        <w:t xml:space="preserve"> swoją społeczną </w:t>
      </w:r>
      <w:r w:rsidRPr="005021D3">
        <w:rPr>
          <w:lang w:eastAsia="pl-PL"/>
        </w:rPr>
        <w:lastRenderedPageBreak/>
        <w:t xml:space="preserve">misję. Niewątpliwie </w:t>
      </w:r>
      <w:r w:rsidR="005C3F24">
        <w:rPr>
          <w:lang w:eastAsia="pl-PL"/>
        </w:rPr>
        <w:t xml:space="preserve">istotnym </w:t>
      </w:r>
      <w:r w:rsidRPr="005021D3">
        <w:rPr>
          <w:lang w:eastAsia="pl-PL"/>
        </w:rPr>
        <w:t>powodem, dla którego części z organizacji nie udało się kontynuować rozbudowy kapitału żelaznego</w:t>
      </w:r>
      <w:r w:rsidR="007B6ABD">
        <w:rPr>
          <w:lang w:eastAsia="pl-PL"/>
        </w:rPr>
        <w:t>,</w:t>
      </w:r>
      <w:r w:rsidRPr="005021D3">
        <w:rPr>
          <w:lang w:eastAsia="pl-PL"/>
        </w:rPr>
        <w:t xml:space="preserve"> było szybkie zakończenie pro</w:t>
      </w:r>
      <w:r>
        <w:rPr>
          <w:lang w:eastAsia="pl-PL"/>
        </w:rPr>
        <w:t xml:space="preserve">gramu wsparcia przez darczyńców. Możliwym remedium na przedwczesne zakończenie działania </w:t>
      </w:r>
      <w:r w:rsidRPr="005021D3">
        <w:rPr>
          <w:lang w:eastAsia="pl-PL"/>
        </w:rPr>
        <w:t xml:space="preserve">inicjatyw tworzenia kapitałów żelaznych jest </w:t>
      </w:r>
      <w:r>
        <w:rPr>
          <w:lang w:eastAsia="pl-PL"/>
        </w:rPr>
        <w:t xml:space="preserve">systematyczne </w:t>
      </w:r>
      <w:r w:rsidRPr="005021D3">
        <w:rPr>
          <w:lang w:eastAsia="pl-PL"/>
        </w:rPr>
        <w:t>w</w:t>
      </w:r>
      <w:r>
        <w:rPr>
          <w:lang w:eastAsia="pl-PL"/>
        </w:rPr>
        <w:t xml:space="preserve">sparcie merytoryczne i finansowe </w:t>
      </w:r>
      <w:r w:rsidR="007B6ABD">
        <w:rPr>
          <w:lang w:eastAsia="pl-PL"/>
        </w:rPr>
        <w:br/>
      </w:r>
      <w:r>
        <w:rPr>
          <w:lang w:eastAsia="pl-PL"/>
        </w:rPr>
        <w:t>w ramach P</w:t>
      </w:r>
      <w:r w:rsidRPr="005021D3">
        <w:rPr>
          <w:lang w:eastAsia="pl-PL"/>
        </w:rPr>
        <w:t xml:space="preserve">rogramu, </w:t>
      </w:r>
      <w:r>
        <w:rPr>
          <w:lang w:eastAsia="pl-PL"/>
        </w:rPr>
        <w:t xml:space="preserve">które pozwoli poszczególnym inicjatywom na </w:t>
      </w:r>
      <w:r w:rsidR="00880C21">
        <w:rPr>
          <w:lang w:eastAsia="pl-PL"/>
        </w:rPr>
        <w:t>osiągnięcie</w:t>
      </w:r>
      <w:r w:rsidRPr="005021D3">
        <w:rPr>
          <w:lang w:eastAsia="pl-PL"/>
        </w:rPr>
        <w:t xml:space="preserve"> </w:t>
      </w:r>
      <w:r>
        <w:rPr>
          <w:lang w:eastAsia="pl-PL"/>
        </w:rPr>
        <w:t>poziomu zapewniającego</w:t>
      </w:r>
      <w:r w:rsidRPr="005021D3">
        <w:rPr>
          <w:lang w:eastAsia="pl-PL"/>
        </w:rPr>
        <w:t xml:space="preserve"> </w:t>
      </w:r>
      <w:r>
        <w:rPr>
          <w:lang w:eastAsia="pl-PL"/>
        </w:rPr>
        <w:t xml:space="preserve">ich </w:t>
      </w:r>
      <w:r w:rsidRPr="005021D3">
        <w:rPr>
          <w:lang w:eastAsia="pl-PL"/>
        </w:rPr>
        <w:t xml:space="preserve">dalsze </w:t>
      </w:r>
      <w:r w:rsidR="005C3F24">
        <w:rPr>
          <w:lang w:eastAsia="pl-PL"/>
        </w:rPr>
        <w:t xml:space="preserve">stabilne </w:t>
      </w:r>
      <w:r>
        <w:rPr>
          <w:lang w:eastAsia="pl-PL"/>
        </w:rPr>
        <w:t>funkcjonowanie</w:t>
      </w:r>
      <w:r w:rsidRPr="005021D3">
        <w:rPr>
          <w:lang w:eastAsia="pl-PL"/>
        </w:rPr>
        <w:t xml:space="preserve">. </w:t>
      </w:r>
      <w:r w:rsidR="005C3F24">
        <w:rPr>
          <w:lang w:eastAsia="pl-PL"/>
        </w:rPr>
        <w:t>Systematyczny monitoring</w:t>
      </w:r>
      <w:r w:rsidRPr="005021D3">
        <w:rPr>
          <w:lang w:eastAsia="pl-PL"/>
        </w:rPr>
        <w:t xml:space="preserve"> </w:t>
      </w:r>
      <w:r w:rsidR="005C3F24">
        <w:rPr>
          <w:lang w:eastAsia="pl-PL"/>
        </w:rPr>
        <w:t>rozwo</w:t>
      </w:r>
      <w:r w:rsidRPr="005021D3">
        <w:rPr>
          <w:lang w:eastAsia="pl-PL"/>
        </w:rPr>
        <w:t>j</w:t>
      </w:r>
      <w:r w:rsidR="005C3F24">
        <w:rPr>
          <w:lang w:eastAsia="pl-PL"/>
        </w:rPr>
        <w:t>u</w:t>
      </w:r>
      <w:r w:rsidRPr="005021D3">
        <w:rPr>
          <w:lang w:eastAsia="pl-PL"/>
        </w:rPr>
        <w:t xml:space="preserve"> </w:t>
      </w:r>
      <w:r w:rsidR="005C3F24">
        <w:rPr>
          <w:lang w:eastAsia="pl-PL"/>
        </w:rPr>
        <w:t xml:space="preserve">poszczególnych </w:t>
      </w:r>
      <w:r w:rsidRPr="005021D3">
        <w:rPr>
          <w:lang w:eastAsia="pl-PL"/>
        </w:rPr>
        <w:t xml:space="preserve">inicjatyw budowania kapitałów żelaznych </w:t>
      </w:r>
      <w:r w:rsidR="005C3F24">
        <w:rPr>
          <w:lang w:eastAsia="pl-PL"/>
        </w:rPr>
        <w:t xml:space="preserve">umożliwi zbudowanie sieci organizacji, które </w:t>
      </w:r>
      <w:r>
        <w:rPr>
          <w:lang w:eastAsia="pl-PL"/>
        </w:rPr>
        <w:t xml:space="preserve">uzyskają </w:t>
      </w:r>
      <w:r w:rsidRPr="005021D3">
        <w:rPr>
          <w:lang w:eastAsia="pl-PL"/>
        </w:rPr>
        <w:t xml:space="preserve">możliwość </w:t>
      </w:r>
      <w:r>
        <w:rPr>
          <w:lang w:eastAsia="pl-PL"/>
        </w:rPr>
        <w:t xml:space="preserve">skorzystania ze </w:t>
      </w:r>
      <w:r w:rsidRPr="005021D3">
        <w:rPr>
          <w:lang w:eastAsia="pl-PL"/>
        </w:rPr>
        <w:t>środków operacyjnych przeznaczonych na tworzenie i realizację długofalowej strategii budowy kapitałów żelaznych. Szczegóły wsparcia, w tym jego maksymalna wysokość, nieprze</w:t>
      </w:r>
      <w:r>
        <w:rPr>
          <w:lang w:eastAsia="pl-PL"/>
        </w:rPr>
        <w:t xml:space="preserve">kraczalny czas trwania projektu – </w:t>
      </w:r>
      <w:r w:rsidRPr="005021D3">
        <w:rPr>
          <w:lang w:eastAsia="pl-PL"/>
        </w:rPr>
        <w:t xml:space="preserve">tworzenia </w:t>
      </w:r>
      <w:r w:rsidR="00314520">
        <w:rPr>
          <w:lang w:eastAsia="pl-PL"/>
        </w:rPr>
        <w:br/>
      </w:r>
      <w:r w:rsidRPr="005021D3">
        <w:rPr>
          <w:lang w:eastAsia="pl-PL"/>
        </w:rPr>
        <w:t xml:space="preserve">i realizacji długofalowej strategii budowy kapitału żelaznego, warunki wymagane </w:t>
      </w:r>
      <w:r w:rsidR="00A364EF">
        <w:rPr>
          <w:lang w:eastAsia="pl-PL"/>
        </w:rPr>
        <w:br/>
      </w:r>
      <w:r w:rsidRPr="005021D3">
        <w:rPr>
          <w:lang w:eastAsia="pl-PL"/>
        </w:rPr>
        <w:t>od organizacji i jej partne</w:t>
      </w:r>
      <w:r>
        <w:rPr>
          <w:lang w:eastAsia="pl-PL"/>
        </w:rPr>
        <w:t>rów przystępujących do projektu</w:t>
      </w:r>
      <w:r w:rsidRPr="005021D3">
        <w:rPr>
          <w:lang w:eastAsia="pl-PL"/>
        </w:rPr>
        <w:t xml:space="preserve"> zostaną określone w Regulaminie </w:t>
      </w:r>
      <w:r>
        <w:rPr>
          <w:lang w:eastAsia="pl-PL"/>
        </w:rPr>
        <w:t>K</w:t>
      </w:r>
      <w:r w:rsidRPr="005021D3">
        <w:rPr>
          <w:lang w:eastAsia="pl-PL"/>
        </w:rPr>
        <w:t>onkursu na dotacje operacyjne na dofinansowanie rozbudowy kapitałów żelaznych.</w:t>
      </w:r>
      <w:r>
        <w:rPr>
          <w:lang w:eastAsia="pl-PL"/>
        </w:rPr>
        <w:t xml:space="preserve"> </w:t>
      </w:r>
      <w:r w:rsidRPr="005021D3">
        <w:rPr>
          <w:lang w:eastAsia="pl-PL"/>
        </w:rPr>
        <w:t>Okresowo, nie częściej niż raz w tra</w:t>
      </w:r>
      <w:r>
        <w:rPr>
          <w:lang w:eastAsia="pl-PL"/>
        </w:rPr>
        <w:t>kcie realizacji P</w:t>
      </w:r>
      <w:r w:rsidRPr="005021D3">
        <w:rPr>
          <w:lang w:eastAsia="pl-PL"/>
        </w:rPr>
        <w:t xml:space="preserve">rogramu, organizacja realizująca długofalową strategię budowy kapitału żelaznego będzie mogła uzyskać wsparcie </w:t>
      </w:r>
      <w:r>
        <w:rPr>
          <w:lang w:eastAsia="pl-PL"/>
        </w:rPr>
        <w:t>w formie dokapitalizowania.</w:t>
      </w:r>
    </w:p>
    <w:p w14:paraId="37BFA239" w14:textId="27F00DDD" w:rsidR="00B2612B" w:rsidRDefault="00B2612B" w:rsidP="00B2612B">
      <w:pPr>
        <w:pStyle w:val="Nagwek2"/>
        <w:rPr>
          <w:rFonts w:eastAsia="Calibri"/>
        </w:rPr>
      </w:pPr>
      <w:bookmarkStart w:id="66" w:name="_Toc508718546"/>
      <w:r>
        <w:rPr>
          <w:rFonts w:eastAsia="Calibri"/>
        </w:rPr>
        <w:t xml:space="preserve">Priorytet 3. Rozwój instytucjonalny </w:t>
      </w:r>
      <w:r w:rsidR="00AB79EE">
        <w:rPr>
          <w:rFonts w:eastAsia="Calibri"/>
        </w:rPr>
        <w:t xml:space="preserve">lokalnych </w:t>
      </w:r>
      <w:r>
        <w:rPr>
          <w:rFonts w:eastAsia="Calibri"/>
        </w:rPr>
        <w:t>organizacji strażniczych i mediów obywatelskich</w:t>
      </w:r>
      <w:bookmarkEnd w:id="66"/>
    </w:p>
    <w:p w14:paraId="4DBF3F5F" w14:textId="3D1AB75A" w:rsidR="00B2612B" w:rsidRDefault="00B2612B" w:rsidP="00B2612B">
      <w:r>
        <w:t>Większość prodemokratycznych i aktywizujących funkcji sektora obywatelskiego</w:t>
      </w:r>
      <w:r w:rsidR="00880C21">
        <w:t xml:space="preserve"> wymaga wzmocnienia. S</w:t>
      </w:r>
      <w:r>
        <w:t xml:space="preserve">zczególnie </w:t>
      </w:r>
      <w:r w:rsidR="00880C21">
        <w:t xml:space="preserve">istotne są: </w:t>
      </w:r>
      <w:r>
        <w:t>funkcja kontrolna wobec władzy, partycypacja obywatelska w procesach podejmowania decyzji pol</w:t>
      </w:r>
      <w:r w:rsidR="00880C21">
        <w:t>itycznych, a także funkcja ekspercka</w:t>
      </w:r>
      <w:r>
        <w:t xml:space="preserve">. Różnorodność organizacji strażniczych i mediów obywatelskich oraz specyfika ich działalności powoduje, że tylko niewielu podmiotom udaje się uzyskać pewien poziom stabilności instytucjonalnej. </w:t>
      </w:r>
      <w:r w:rsidR="00EE4E16">
        <w:t xml:space="preserve">W szczególności dotyczy to organizacji działających na rzecz wspólnot lokalnych. </w:t>
      </w:r>
      <w:r w:rsidR="002D06B1">
        <w:t>Wykorzystanie przez te organizacje środków publicznych dystrybuowanych przez samorządy może tworzyć sytuację patogenną, w której funkcja kontrolna ma być realizowana wobec instytucji finansującej tą działalność. Co więcej o</w:t>
      </w:r>
      <w:r>
        <w:t xml:space="preserve">rganizacje pozyskujące granty </w:t>
      </w:r>
      <w:r w:rsidR="005C3F24">
        <w:br/>
      </w:r>
      <w:r>
        <w:t>na realizację konkretnych projektów czy kampanii koncentrują się następnie na ich realizacji</w:t>
      </w:r>
      <w:r w:rsidR="002D06B1">
        <w:t xml:space="preserve"> </w:t>
      </w:r>
      <w:r w:rsidR="005C3F24">
        <w:br/>
      </w:r>
      <w:r w:rsidR="002D06B1">
        <w:t>i osiągnięciu deklarowanych wskaźników</w:t>
      </w:r>
      <w:r>
        <w:t xml:space="preserve">, co generalnie nie sprzyja trwałemu zaangażowaniu społecznemu i budowie silnych, niezależnych ośrodków kontrolnych czy eksperckich. Analogiczna sytuacja dotyczy mediów obywatelskich, które z jednej strony nie mogą </w:t>
      </w:r>
      <w:r>
        <w:lastRenderedPageBreak/>
        <w:t xml:space="preserve">konkurować z mediami komercyjnymi czy finansowanymi ze środków publicznych, </w:t>
      </w:r>
      <w:r w:rsidR="002D06B1">
        <w:br/>
      </w:r>
      <w:r>
        <w:t>z drugiej strony z natury rzeczy nie mają charakteru „projektowego”, a zatem realizując swoją misję</w:t>
      </w:r>
      <w:r w:rsidR="007B6ABD">
        <w:t>,</w:t>
      </w:r>
      <w:r>
        <w:t xml:space="preserve"> nie mogą liczyć na wsparcie w ramach dostępnych programów finansowania dedykowanych organizacjom obywatelskim. Dodatkowo media obywatelskie są często produktem tworzonym przez pojedyncze osoby lub grupy osób (dziennikarzy obywatelskich). Brak osobowości prawnej jest często kolejną „ułomnością” </w:t>
      </w:r>
      <w:r w:rsidR="00EE4E16">
        <w:t xml:space="preserve">tych </w:t>
      </w:r>
      <w:r>
        <w:t>mediów, będąc w konsekwencji podstawową barierą dla pozyskiwania środków finansowych na działalność.</w:t>
      </w:r>
    </w:p>
    <w:p w14:paraId="3CEEF11C" w14:textId="1302FAE2" w:rsidR="00B2612B" w:rsidRDefault="0046415B" w:rsidP="00B2612B">
      <w:r>
        <w:t>I</w:t>
      </w:r>
      <w:r w:rsidR="00B2612B">
        <w:t xml:space="preserve">nstytucjonalne wsparcie organizacji strażniczych i mediów obywatelskich stanowi realną odpowiedź na zidentyfikowane w tym segmencie sektora obywatelskiego potrzeby. Dotacje instytucjonalne mają na celu wzmocnienie organizacji strażniczych i mediów obywatelskich tak, aby mogły one </w:t>
      </w:r>
      <w:r>
        <w:t xml:space="preserve">realizować właściwe sobie funkcje społeczeństwa obywatelskiego, </w:t>
      </w:r>
      <w:r w:rsidR="00B2612B">
        <w:t xml:space="preserve">budować swoją realną pozycję oraz wpływ w obszarach zaangażowania. </w:t>
      </w:r>
      <w:r w:rsidR="00EE4E16">
        <w:t xml:space="preserve">Równocześnie wsparcie </w:t>
      </w:r>
      <w:r w:rsidR="00A364EF">
        <w:br/>
      </w:r>
      <w:r w:rsidR="00EE4E16">
        <w:t xml:space="preserve">na poziomie krajowym adresowane do organizacji działających lokalnie pozwoli na uniknięcie ewentualnego wpływu na poziom niezależności i obiektywizmu podejmowanych przez </w:t>
      </w:r>
      <w:r w:rsidR="00A364EF">
        <w:br/>
      </w:r>
      <w:r w:rsidR="00EE4E16">
        <w:t xml:space="preserve">te organizacje działań strażniczych. </w:t>
      </w:r>
      <w:r w:rsidR="00B2612B">
        <w:t xml:space="preserve">W ramach Priorytetu 3 zakłada się wspieranie działania osób (grup nieformalnych) i </w:t>
      </w:r>
      <w:r>
        <w:t xml:space="preserve">instytucji </w:t>
      </w:r>
      <w:r w:rsidR="00B2612B">
        <w:t xml:space="preserve">na rzecz tworzenia przestrzeni dla pluralistycznej debaty wokół istotnych spraw publicznych, monitorowania działań instytucji publicznych i prywatnych </w:t>
      </w:r>
      <w:r w:rsidR="00A364EF">
        <w:br/>
      </w:r>
      <w:r w:rsidR="00B2612B">
        <w:t xml:space="preserve">(np. korporacji) w duchu troski o dobro wspólne, w szczególności tam, gdzie podejmowane </w:t>
      </w:r>
      <w:r w:rsidR="00A364EF">
        <w:br/>
      </w:r>
      <w:r w:rsidR="00B2612B">
        <w:t xml:space="preserve">są decyzje lub stanowione jest prawo. </w:t>
      </w:r>
      <w:r w:rsidR="005354A0">
        <w:t xml:space="preserve">Dominującym kierunkiem </w:t>
      </w:r>
      <w:r w:rsidR="00B2612B">
        <w:t>wsparcia w ramach Priorytetu 3 będzie dofinansowanie inicjatyw na poziomie lokalnym.</w:t>
      </w:r>
    </w:p>
    <w:p w14:paraId="35A49198" w14:textId="697C9396" w:rsidR="00B2612B" w:rsidRDefault="00B2612B" w:rsidP="00B2612B">
      <w:r w:rsidRPr="005021D3">
        <w:rPr>
          <w:lang w:eastAsia="pl-PL"/>
        </w:rPr>
        <w:t>Szczegóły wsparcia</w:t>
      </w:r>
      <w:r>
        <w:rPr>
          <w:lang w:eastAsia="pl-PL"/>
        </w:rPr>
        <w:t xml:space="preserve"> ud</w:t>
      </w:r>
      <w:r w:rsidR="007B6ABD">
        <w:rPr>
          <w:lang w:eastAsia="pl-PL"/>
        </w:rPr>
        <w:t>zielanego w ramach Priorytetu 3</w:t>
      </w:r>
      <w:r w:rsidRPr="005021D3">
        <w:rPr>
          <w:lang w:eastAsia="pl-PL"/>
        </w:rPr>
        <w:t xml:space="preserve">, w tym jego </w:t>
      </w:r>
      <w:r>
        <w:rPr>
          <w:lang w:eastAsia="pl-PL"/>
        </w:rPr>
        <w:t xml:space="preserve">minimalna i </w:t>
      </w:r>
      <w:r w:rsidRPr="005021D3">
        <w:rPr>
          <w:lang w:eastAsia="pl-PL"/>
        </w:rPr>
        <w:t xml:space="preserve">maksymalna wysokość, </w:t>
      </w:r>
      <w:r>
        <w:rPr>
          <w:lang w:eastAsia="pl-PL"/>
        </w:rPr>
        <w:t>wymagania dotyczące okresu realizacji wsparcia, uprawnionych beneficjentów pomocy</w:t>
      </w:r>
      <w:r w:rsidR="007B6ABD">
        <w:rPr>
          <w:lang w:eastAsia="pl-PL"/>
        </w:rPr>
        <w:t>,</w:t>
      </w:r>
      <w:r>
        <w:rPr>
          <w:lang w:eastAsia="pl-PL"/>
        </w:rPr>
        <w:t xml:space="preserve"> </w:t>
      </w:r>
      <w:r w:rsidRPr="005021D3">
        <w:rPr>
          <w:lang w:eastAsia="pl-PL"/>
        </w:rPr>
        <w:t>z</w:t>
      </w:r>
      <w:r>
        <w:rPr>
          <w:lang w:eastAsia="pl-PL"/>
        </w:rPr>
        <w:t>ostaną określone w Regulaminie K</w:t>
      </w:r>
      <w:r w:rsidRPr="005021D3">
        <w:rPr>
          <w:lang w:eastAsia="pl-PL"/>
        </w:rPr>
        <w:t xml:space="preserve">onkursu na dotacje </w:t>
      </w:r>
      <w:r>
        <w:rPr>
          <w:lang w:eastAsia="pl-PL"/>
        </w:rPr>
        <w:t xml:space="preserve">w obszarze </w:t>
      </w:r>
      <w:r>
        <w:rPr>
          <w:rFonts w:eastAsia="Calibri"/>
        </w:rPr>
        <w:t>rozwoju instytucjonalnego organizacji strażniczych i mediów obywatelskich.</w:t>
      </w:r>
    </w:p>
    <w:p w14:paraId="05724692" w14:textId="77777777" w:rsidR="00B2612B" w:rsidRDefault="00B2612B" w:rsidP="00B2612B">
      <w:pPr>
        <w:pStyle w:val="Nagwek2"/>
        <w:rPr>
          <w:rFonts w:eastAsia="Calibri"/>
        </w:rPr>
      </w:pPr>
      <w:bookmarkStart w:id="67" w:name="_Toc508718547"/>
      <w:r>
        <w:rPr>
          <w:rFonts w:eastAsia="Calibri"/>
        </w:rPr>
        <w:t xml:space="preserve">Priorytet 4. Rozwój instytucjonalny </w:t>
      </w:r>
      <w:proofErr w:type="spellStart"/>
      <w:r>
        <w:rPr>
          <w:rFonts w:eastAsia="Calibri"/>
        </w:rPr>
        <w:t>think</w:t>
      </w:r>
      <w:proofErr w:type="spellEnd"/>
      <w:r>
        <w:rPr>
          <w:rFonts w:eastAsia="Calibri"/>
        </w:rPr>
        <w:t xml:space="preserve"> tanków obywatelskich</w:t>
      </w:r>
      <w:bookmarkEnd w:id="67"/>
    </w:p>
    <w:p w14:paraId="0C09F40F" w14:textId="648A8551" w:rsidR="00B2612B" w:rsidRDefault="00B2612B" w:rsidP="00B2612B">
      <w:r>
        <w:t>Organizacje obywatelskie o profilu analityczno-badawczym, działające nie dla zysku (non-profit) i funkcjonujące na marginesie formalnych procesów politycznych (zarówno na poziomie ogólnopolskim, jak i regionalnym)</w:t>
      </w:r>
      <w:r w:rsidR="007B6ABD">
        <w:t>,</w:t>
      </w:r>
      <w:r>
        <w:t xml:space="preserve"> stanowią istotny element pejzażu polskiego sektora pozarządowego. </w:t>
      </w:r>
      <w:proofErr w:type="spellStart"/>
      <w:r>
        <w:t>Think</w:t>
      </w:r>
      <w:proofErr w:type="spellEnd"/>
      <w:r>
        <w:t xml:space="preserve"> tanki definiowane są jako organizacje, które opracowują </w:t>
      </w:r>
      <w:r>
        <w:lastRenderedPageBreak/>
        <w:t xml:space="preserve">badania, analizy i opinie związane ze sprawami krajowymi lub międzynarodowymi w celu merytorycznego wspierania procesów podejmowania strategicznych decyzji lub przyjmowania rozwiązań </w:t>
      </w:r>
      <w:r>
        <w:br/>
        <w:t xml:space="preserve">i regulacji. W tym sensie </w:t>
      </w:r>
      <w:proofErr w:type="spellStart"/>
      <w:r>
        <w:t>think</w:t>
      </w:r>
      <w:proofErr w:type="spellEnd"/>
      <w:r>
        <w:t xml:space="preserve"> tanki odpowiadają na postulat</w:t>
      </w:r>
      <w:r w:rsidR="005C3F24">
        <w:t>,</w:t>
      </w:r>
      <w:r>
        <w:t xml:space="preserve"> zgodnie z którym władza potrzebuje wiedzy. Równocześnie w Polsce zainteresowanie wiedzą dostarczaną przez </w:t>
      </w:r>
      <w:proofErr w:type="spellStart"/>
      <w:r>
        <w:t>think</w:t>
      </w:r>
      <w:proofErr w:type="spellEnd"/>
      <w:r>
        <w:t xml:space="preserve"> tanki jest wciąż niewystarczające, a </w:t>
      </w:r>
      <w:r w:rsidR="007B6ABD">
        <w:t xml:space="preserve">ich </w:t>
      </w:r>
      <w:r>
        <w:t>działalność nie jest powszechnie uznaną formą wpływania na politykę. Wsparcie za</w:t>
      </w:r>
      <w:r w:rsidR="007B6ABD">
        <w:t>planowane w ramach Priorytetu 4</w:t>
      </w:r>
      <w:r>
        <w:t xml:space="preserve"> ma zapewnić </w:t>
      </w:r>
      <w:r w:rsidRPr="0052377B">
        <w:t xml:space="preserve">pozarządowym </w:t>
      </w:r>
      <w:proofErr w:type="spellStart"/>
      <w:r w:rsidRPr="0052377B">
        <w:t>think</w:t>
      </w:r>
      <w:proofErr w:type="spellEnd"/>
      <w:r w:rsidRPr="0052377B">
        <w:t xml:space="preserve"> tankom większą stabilność finansową. </w:t>
      </w:r>
      <w:r>
        <w:t xml:space="preserve">W przeciwieństwie do dotacji </w:t>
      </w:r>
      <w:r>
        <w:br/>
        <w:t xml:space="preserve">i grantów dedykowanych pojedynczym projektom wsparcie obejmować będzie rozwój </w:t>
      </w:r>
      <w:r w:rsidRPr="0052377B">
        <w:t xml:space="preserve">instytucjonalny (np. </w:t>
      </w:r>
      <w:r>
        <w:t>w zakresie administracji</w:t>
      </w:r>
      <w:r w:rsidRPr="0052377B">
        <w:t xml:space="preserve">, </w:t>
      </w:r>
      <w:r>
        <w:t xml:space="preserve">stałego </w:t>
      </w:r>
      <w:r w:rsidRPr="0052377B">
        <w:t>personel</w:t>
      </w:r>
      <w:r>
        <w:t>u eksperckiego, pomieszczeń</w:t>
      </w:r>
      <w:r w:rsidRPr="0052377B">
        <w:t xml:space="preserve"> </w:t>
      </w:r>
      <w:r>
        <w:br/>
        <w:t xml:space="preserve">i sprzętu </w:t>
      </w:r>
      <w:r w:rsidRPr="0052377B">
        <w:t>biurowe</w:t>
      </w:r>
      <w:r>
        <w:t>go, itp.</w:t>
      </w:r>
      <w:r w:rsidRPr="0052377B">
        <w:t>)</w:t>
      </w:r>
      <w:r>
        <w:t>.</w:t>
      </w:r>
      <w:r w:rsidRPr="0052377B">
        <w:t xml:space="preserve"> </w:t>
      </w:r>
      <w:r>
        <w:t>Dotacje instytucjonalne pozwolą</w:t>
      </w:r>
      <w:r w:rsidRPr="0052377B">
        <w:t xml:space="preserve"> </w:t>
      </w:r>
      <w:proofErr w:type="spellStart"/>
      <w:r w:rsidRPr="0052377B">
        <w:t>think</w:t>
      </w:r>
      <w:proofErr w:type="spellEnd"/>
      <w:r w:rsidRPr="0052377B">
        <w:t xml:space="preserve"> tankom strategicznie planować działalność w perspektywie </w:t>
      </w:r>
      <w:r>
        <w:t>wieloletniej</w:t>
      </w:r>
      <w:r w:rsidRPr="0052377B">
        <w:t>, reagować na bieżąc</w:t>
      </w:r>
      <w:r>
        <w:t xml:space="preserve">o na ważne wydarzenia i nie </w:t>
      </w:r>
      <w:r w:rsidRPr="0052377B">
        <w:t>ogranicz</w:t>
      </w:r>
      <w:r>
        <w:t>ać działalności badawczej do tematyki definiowanej każdorazowo w ramach projektów finansowanych z programów grantowych. Kluczowym warunkiem uzyskania</w:t>
      </w:r>
      <w:r w:rsidR="007B6ABD">
        <w:t xml:space="preserve"> wsparcia w ramach Priorytetu 4</w:t>
      </w:r>
      <w:r>
        <w:t xml:space="preserve"> będzie przedstawienie wiarygodnego programu rozwoju instytucjonalnego obejmującego zarówno techniczne, organizacyjne jak i merytoryczne aspekty działalności danego podmiotu. Podczas procedury wyboru organizacji, które uzyskają dotację, brane pod uwagę będą między innymi planowane działania służące budowie wizerunku i marki </w:t>
      </w:r>
      <w:proofErr w:type="spellStart"/>
      <w:r>
        <w:t>think</w:t>
      </w:r>
      <w:proofErr w:type="spellEnd"/>
      <w:r>
        <w:t xml:space="preserve"> tanku (w tym w wymiarze międzynarodowym), zaangażowanie w procesy konsultacji społecznych, a także działania mające na celu pozyskanie finansowania ze środków prywatnych. Dodatkowo przewiduje się wsparcie </w:t>
      </w:r>
      <w:proofErr w:type="spellStart"/>
      <w:r>
        <w:t>think</w:t>
      </w:r>
      <w:proofErr w:type="spellEnd"/>
      <w:r>
        <w:t xml:space="preserve"> tanków zaangażowanych w działania na rzecz rozwoju regionalnego – tak aby wojewódzkie struktury samorządowe również zyskiwały dostęp </w:t>
      </w:r>
      <w:r>
        <w:br/>
        <w:t>do dedykowanych badań i analiz.</w:t>
      </w:r>
    </w:p>
    <w:p w14:paraId="74E48C95" w14:textId="4311C934" w:rsidR="00B2612B" w:rsidRDefault="00B2612B" w:rsidP="00B2612B">
      <w:r w:rsidRPr="005021D3">
        <w:rPr>
          <w:lang w:eastAsia="pl-PL"/>
        </w:rPr>
        <w:t>Szczegóły wsparcia</w:t>
      </w:r>
      <w:r>
        <w:rPr>
          <w:lang w:eastAsia="pl-PL"/>
        </w:rPr>
        <w:t xml:space="preserve"> udzielanego w ramach Priorytetu 4</w:t>
      </w:r>
      <w:r w:rsidRPr="005021D3">
        <w:rPr>
          <w:lang w:eastAsia="pl-PL"/>
        </w:rPr>
        <w:t xml:space="preserve">, w tym jego </w:t>
      </w:r>
      <w:r>
        <w:rPr>
          <w:lang w:eastAsia="pl-PL"/>
        </w:rPr>
        <w:t xml:space="preserve">minimalna i </w:t>
      </w:r>
      <w:r w:rsidRPr="005021D3">
        <w:rPr>
          <w:lang w:eastAsia="pl-PL"/>
        </w:rPr>
        <w:t xml:space="preserve">maksymalna wysokość, </w:t>
      </w:r>
      <w:r>
        <w:rPr>
          <w:lang w:eastAsia="pl-PL"/>
        </w:rPr>
        <w:t xml:space="preserve">wymagania dotyczące okresu realizacji wsparcia, uprawnionych beneficjentów pomocy </w:t>
      </w:r>
      <w:r w:rsidRPr="005021D3">
        <w:rPr>
          <w:lang w:eastAsia="pl-PL"/>
        </w:rPr>
        <w:t>z</w:t>
      </w:r>
      <w:r>
        <w:rPr>
          <w:lang w:eastAsia="pl-PL"/>
        </w:rPr>
        <w:t>ostaną określone w Regulaminie K</w:t>
      </w:r>
      <w:r w:rsidRPr="005021D3">
        <w:rPr>
          <w:lang w:eastAsia="pl-PL"/>
        </w:rPr>
        <w:t xml:space="preserve">onkursu na dotacje </w:t>
      </w:r>
      <w:r>
        <w:rPr>
          <w:lang w:eastAsia="pl-PL"/>
        </w:rPr>
        <w:t xml:space="preserve">w obszarze </w:t>
      </w:r>
      <w:r>
        <w:rPr>
          <w:rFonts w:eastAsia="Calibri"/>
        </w:rPr>
        <w:t xml:space="preserve">rozwoju instytucjonalnego </w:t>
      </w:r>
      <w:proofErr w:type="spellStart"/>
      <w:r>
        <w:rPr>
          <w:rFonts w:eastAsia="Calibri"/>
        </w:rPr>
        <w:t>think</w:t>
      </w:r>
      <w:proofErr w:type="spellEnd"/>
      <w:r>
        <w:rPr>
          <w:rFonts w:eastAsia="Calibri"/>
        </w:rPr>
        <w:t xml:space="preserve"> </w:t>
      </w:r>
      <w:r>
        <w:t>tanków obywatelskich</w:t>
      </w:r>
      <w:r>
        <w:rPr>
          <w:rFonts w:eastAsia="Calibri"/>
        </w:rPr>
        <w:t>.</w:t>
      </w:r>
    </w:p>
    <w:p w14:paraId="7EF2259D" w14:textId="57379410" w:rsidR="00B2612B" w:rsidRPr="005021D3" w:rsidRDefault="00B2612B" w:rsidP="00B2612B">
      <w:pPr>
        <w:pStyle w:val="Nagwek2"/>
        <w:rPr>
          <w:rFonts w:eastAsia="Times New Roman"/>
        </w:rPr>
      </w:pPr>
      <w:bookmarkStart w:id="68" w:name="_Toc506902130"/>
      <w:bookmarkStart w:id="69" w:name="_Toc508718548"/>
      <w:r w:rsidRPr="00BB66F7">
        <w:t>Priorytet</w:t>
      </w:r>
      <w:r>
        <w:rPr>
          <w:rFonts w:eastAsia="Times New Roman"/>
        </w:rPr>
        <w:t xml:space="preserve"> 5. </w:t>
      </w:r>
      <w:r w:rsidRPr="005021D3">
        <w:rPr>
          <w:rFonts w:eastAsia="Times New Roman"/>
        </w:rPr>
        <w:t>Wsparcie doraźne</w:t>
      </w:r>
      <w:bookmarkEnd w:id="68"/>
      <w:bookmarkEnd w:id="69"/>
    </w:p>
    <w:p w14:paraId="2A99F10C" w14:textId="41C41E44" w:rsidR="00B2612B" w:rsidRDefault="00B2612B" w:rsidP="00B2612B">
      <w:pPr>
        <w:rPr>
          <w:rFonts w:eastAsia="Calibri" w:cs="Calibri Light"/>
        </w:rPr>
      </w:pPr>
      <w:r>
        <w:rPr>
          <w:rFonts w:eastAsia="Calibri" w:cs="Calibri Light"/>
        </w:rPr>
        <w:t xml:space="preserve">Istotną barierą w działalności organizacji pozarządowych na poziomie lokalnym jest brak rezerw finansowych, które mogą być uruchamiane w nagłych sytuacjach wymagających </w:t>
      </w:r>
      <w:r>
        <w:rPr>
          <w:rFonts w:eastAsia="Calibri" w:cs="Calibri Light"/>
        </w:rPr>
        <w:lastRenderedPageBreak/>
        <w:t xml:space="preserve">interwencji. Chodzi tu głównie o zdarzenia nieprzewidziane (np. awarie sprzętu), które mogą mieć istotny wpływ na skuteczność działania organizacji i realizacji jej celów statutowych. Sytuacje takie wymagają często pilnego wsparcia w ramach maksymalnie uproszczonej procedury, tak aby możliwie szybko rozwiązać problem. Równocześnie organizacje obywatelskie </w:t>
      </w:r>
      <w:r w:rsidRPr="005021D3">
        <w:rPr>
          <w:rFonts w:eastAsia="Calibri" w:cs="Calibri Light"/>
        </w:rPr>
        <w:t xml:space="preserve">sygnalizują </w:t>
      </w:r>
      <w:r>
        <w:rPr>
          <w:rFonts w:eastAsia="Calibri" w:cs="Calibri Light"/>
        </w:rPr>
        <w:t xml:space="preserve">także </w:t>
      </w:r>
      <w:r w:rsidRPr="005021D3">
        <w:rPr>
          <w:rFonts w:eastAsia="Calibri" w:cs="Calibri Light"/>
        </w:rPr>
        <w:t xml:space="preserve">utrudniony dostęp do </w:t>
      </w:r>
      <w:r>
        <w:rPr>
          <w:rFonts w:eastAsia="Calibri" w:cs="Calibri Light"/>
        </w:rPr>
        <w:t xml:space="preserve">wydarzeń </w:t>
      </w:r>
      <w:r w:rsidRPr="005021D3">
        <w:rPr>
          <w:rFonts w:eastAsia="Calibri" w:cs="Calibri Light"/>
        </w:rPr>
        <w:t>życia publicznego ze szczególnym uwzględnieniem dialogu obywatelskiego</w:t>
      </w:r>
      <w:r>
        <w:rPr>
          <w:rFonts w:eastAsia="Calibri" w:cs="Calibri Light"/>
        </w:rPr>
        <w:t xml:space="preserve">. Organizacje, </w:t>
      </w:r>
      <w:r w:rsidRPr="005021D3">
        <w:rPr>
          <w:rFonts w:eastAsia="Calibri" w:cs="Calibri Light"/>
        </w:rPr>
        <w:t>pomimo reali</w:t>
      </w:r>
      <w:r>
        <w:rPr>
          <w:rFonts w:eastAsia="Calibri" w:cs="Calibri Light"/>
        </w:rPr>
        <w:t xml:space="preserve">zacji rożnych zadań publicznych, </w:t>
      </w:r>
      <w:r w:rsidRPr="005021D3">
        <w:rPr>
          <w:rFonts w:eastAsia="Calibri" w:cs="Calibri Light"/>
        </w:rPr>
        <w:t xml:space="preserve">nie mają </w:t>
      </w:r>
      <w:r>
        <w:rPr>
          <w:rFonts w:eastAsia="Calibri" w:cs="Calibri Light"/>
        </w:rPr>
        <w:t xml:space="preserve">często </w:t>
      </w:r>
      <w:r w:rsidRPr="005021D3">
        <w:rPr>
          <w:rFonts w:eastAsia="Calibri" w:cs="Calibri Light"/>
        </w:rPr>
        <w:t xml:space="preserve">wystarczających zasobów, aby pokrywać koszty </w:t>
      </w:r>
      <w:r>
        <w:rPr>
          <w:rFonts w:eastAsia="Calibri" w:cs="Calibri Light"/>
        </w:rPr>
        <w:t xml:space="preserve">udziału swoich przedstawicieli – </w:t>
      </w:r>
      <w:r w:rsidRPr="005021D3">
        <w:rPr>
          <w:rFonts w:eastAsia="Calibri" w:cs="Calibri Light"/>
        </w:rPr>
        <w:t>działaczy lokalnych i regionalnych organizacji w przedsięwzięciach sektorowych o charakterze ogólnopolskim, ponadregionalnym, a także europejskim</w:t>
      </w:r>
      <w:r>
        <w:rPr>
          <w:rFonts w:eastAsia="Calibri" w:cs="Calibri Light"/>
        </w:rPr>
        <w:t>. W ramach Priorytetu 5 „Wsparcie doraźne” organizacje pozarządowe będą mogły uzyskać wsparcie zarówno na pokrycie kosztów służących zasp</w:t>
      </w:r>
      <w:r w:rsidR="001E337D">
        <w:rPr>
          <w:rFonts w:eastAsia="Calibri" w:cs="Calibri Light"/>
        </w:rPr>
        <w:t>okojeniu nagłych, nieprzewidzia</w:t>
      </w:r>
      <w:r>
        <w:rPr>
          <w:rFonts w:eastAsia="Calibri" w:cs="Calibri Light"/>
        </w:rPr>
        <w:t>nych potrzeb jak również na pokrycie kosztów uczestnictwa w konkretnych wydarzeniach życia publicznego o charakterze ponad</w:t>
      </w:r>
      <w:r w:rsidR="007B6ABD">
        <w:rPr>
          <w:rFonts w:eastAsia="Calibri" w:cs="Calibri Light"/>
        </w:rPr>
        <w:t xml:space="preserve">lokalnym. </w:t>
      </w:r>
      <w:r w:rsidR="007B6ABD">
        <w:rPr>
          <w:rFonts w:eastAsia="Calibri" w:cs="Calibri Light"/>
        </w:rPr>
        <w:br/>
        <w:t>W ramach Priorytetu 5</w:t>
      </w:r>
      <w:r>
        <w:rPr>
          <w:rFonts w:eastAsia="Calibri" w:cs="Calibri Light"/>
        </w:rPr>
        <w:t xml:space="preserve"> zostanie zbudowany mechanizm wsparcia reprezentacji lokalnych </w:t>
      </w:r>
      <w:r w:rsidR="007B6ABD">
        <w:rPr>
          <w:rFonts w:eastAsia="Calibri" w:cs="Calibri Light"/>
        </w:rPr>
        <w:br/>
      </w:r>
      <w:r>
        <w:rPr>
          <w:rFonts w:eastAsia="Calibri" w:cs="Calibri Light"/>
        </w:rPr>
        <w:t xml:space="preserve">i regionalnych organizacji podczas wydarzeń życia publicznego istotnych zarówno z punktu widzenia sektora pozarządowego jak również, w uzasadnionych przypadkach, związanych </w:t>
      </w:r>
      <w:r w:rsidR="007B6ABD">
        <w:rPr>
          <w:rFonts w:eastAsia="Calibri" w:cs="Calibri Light"/>
        </w:rPr>
        <w:br/>
      </w:r>
      <w:r>
        <w:rPr>
          <w:rFonts w:eastAsia="Calibri" w:cs="Calibri Light"/>
        </w:rPr>
        <w:t>z branżą, w której działa dana organizacja. Założeniem wsparcia jest zwiększenie</w:t>
      </w:r>
      <w:r w:rsidRPr="005C19EF">
        <w:rPr>
          <w:rFonts w:eastAsia="Calibri" w:cs="Calibri Light"/>
        </w:rPr>
        <w:t xml:space="preserve"> wpływu </w:t>
      </w:r>
      <w:r>
        <w:rPr>
          <w:rFonts w:eastAsia="Calibri" w:cs="Calibri Light"/>
        </w:rPr>
        <w:t xml:space="preserve">organizacji obywatelskich </w:t>
      </w:r>
      <w:r w:rsidRPr="005C19EF">
        <w:rPr>
          <w:rFonts w:eastAsia="Calibri" w:cs="Calibri Light"/>
        </w:rPr>
        <w:t>na kształtowanie poli</w:t>
      </w:r>
      <w:r>
        <w:rPr>
          <w:rFonts w:eastAsia="Calibri" w:cs="Calibri Light"/>
        </w:rPr>
        <w:t>tyk państwa i polityk lokalnych, a także budowania ich instytucjonalnej dojrzałości.</w:t>
      </w:r>
    </w:p>
    <w:p w14:paraId="6EC11A52" w14:textId="62E5A205" w:rsidR="00B2612B" w:rsidRPr="005C19EF" w:rsidRDefault="00B2612B" w:rsidP="00B2612B">
      <w:pPr>
        <w:rPr>
          <w:rFonts w:eastAsia="Calibri" w:cs="Calibri Light"/>
        </w:rPr>
      </w:pPr>
      <w:r w:rsidRPr="005021D3">
        <w:rPr>
          <w:rFonts w:eastAsia="Calibri" w:cs="Calibri Light"/>
        </w:rPr>
        <w:t>Szczegóły wsparcia, w tym jego maksymalna wysokość, nieprzekraczalny czas, na który dotacja zostanie udzielona, warunki wymagane od orga</w:t>
      </w:r>
      <w:r w:rsidR="007B6ABD">
        <w:rPr>
          <w:rFonts w:eastAsia="Calibri" w:cs="Calibri Light"/>
        </w:rPr>
        <w:t xml:space="preserve">nizacji ubiegającej się o </w:t>
      </w:r>
      <w:proofErr w:type="spellStart"/>
      <w:r w:rsidR="007B6ABD">
        <w:rPr>
          <w:rFonts w:eastAsia="Calibri" w:cs="Calibri Light"/>
        </w:rPr>
        <w:t>mikro</w:t>
      </w:r>
      <w:r w:rsidRPr="005021D3">
        <w:rPr>
          <w:rFonts w:eastAsia="Calibri" w:cs="Calibri Light"/>
        </w:rPr>
        <w:t>dotację</w:t>
      </w:r>
      <w:proofErr w:type="spellEnd"/>
      <w:r w:rsidRPr="005021D3">
        <w:rPr>
          <w:rFonts w:eastAsia="Calibri" w:cs="Calibri Light"/>
        </w:rPr>
        <w:t xml:space="preserve"> z</w:t>
      </w:r>
      <w:r>
        <w:rPr>
          <w:rFonts w:eastAsia="Calibri" w:cs="Calibri Light"/>
        </w:rPr>
        <w:t xml:space="preserve">ostaną określone w Regulaminie Konkursu na </w:t>
      </w:r>
      <w:r w:rsidRPr="005021D3">
        <w:rPr>
          <w:rFonts w:eastAsia="Calibri" w:cs="Calibri Light"/>
        </w:rPr>
        <w:t>wsparcie doraźne</w:t>
      </w:r>
      <w:r>
        <w:rPr>
          <w:rFonts w:eastAsia="Calibri" w:cs="Calibri Light"/>
        </w:rPr>
        <w:t xml:space="preserve"> – </w:t>
      </w:r>
      <w:proofErr w:type="spellStart"/>
      <w:r>
        <w:rPr>
          <w:rFonts w:eastAsia="Calibri" w:cs="Calibri Light"/>
        </w:rPr>
        <w:t>mikrodotacje</w:t>
      </w:r>
      <w:proofErr w:type="spellEnd"/>
      <w:r w:rsidRPr="005021D3">
        <w:rPr>
          <w:rFonts w:eastAsia="Calibri" w:cs="Calibri Light"/>
        </w:rPr>
        <w:t>. Warunki</w:t>
      </w:r>
      <w:r>
        <w:rPr>
          <w:rFonts w:eastAsia="Calibri" w:cs="Calibri Light"/>
        </w:rPr>
        <w:t xml:space="preserve">em wymaganym do uzyskania </w:t>
      </w:r>
      <w:proofErr w:type="spellStart"/>
      <w:r>
        <w:rPr>
          <w:rFonts w:eastAsia="Calibri" w:cs="Calibri Light"/>
        </w:rPr>
        <w:t>mikro</w:t>
      </w:r>
      <w:r w:rsidRPr="005021D3">
        <w:rPr>
          <w:rFonts w:eastAsia="Calibri" w:cs="Calibri Light"/>
        </w:rPr>
        <w:t>dotacji</w:t>
      </w:r>
      <w:proofErr w:type="spellEnd"/>
      <w:r w:rsidRPr="005021D3">
        <w:rPr>
          <w:rFonts w:eastAsia="Calibri" w:cs="Calibri Light"/>
        </w:rPr>
        <w:t xml:space="preserve"> na wsparcie doraźne będzie wykazanie przez ubiegającą się organizację, że sfinansowanie celu dotacji w inny sposób j</w:t>
      </w:r>
      <w:r>
        <w:rPr>
          <w:rFonts w:eastAsia="Calibri" w:cs="Calibri Light"/>
        </w:rPr>
        <w:t xml:space="preserve">est niedostępne dla organizacji, </w:t>
      </w:r>
      <w:r>
        <w:rPr>
          <w:rFonts w:eastAsia="Calibri" w:cs="Calibri Light"/>
        </w:rPr>
        <w:br/>
        <w:t xml:space="preserve">a także zewnętrzne potwierdzenie wiarygodności danego podmiotu (np. w formie listu rekomendacyjnego). </w:t>
      </w:r>
      <w:r w:rsidRPr="005021D3">
        <w:rPr>
          <w:rFonts w:eastAsia="Calibri" w:cs="Calibri Light"/>
        </w:rPr>
        <w:t xml:space="preserve">Procedura dostępu do środków publicznych w ramach </w:t>
      </w:r>
      <w:r>
        <w:rPr>
          <w:rFonts w:eastAsia="Calibri" w:cs="Calibri Light"/>
        </w:rPr>
        <w:t>Priorytetu 5</w:t>
      </w:r>
      <w:r w:rsidRPr="005021D3">
        <w:rPr>
          <w:rFonts w:eastAsia="Calibri" w:cs="Calibri Light"/>
        </w:rPr>
        <w:t xml:space="preserve"> zostanie maksymalnie uproszczona z uwagi na </w:t>
      </w:r>
      <w:r>
        <w:rPr>
          <w:rFonts w:eastAsia="Calibri" w:cs="Calibri Light"/>
        </w:rPr>
        <w:t>niską maksymalną wartość środków</w:t>
      </w:r>
      <w:r w:rsidRPr="005021D3">
        <w:rPr>
          <w:rFonts w:eastAsia="Calibri" w:cs="Calibri Light"/>
        </w:rPr>
        <w:t xml:space="preserve">, o jakie organizacja będzie mogła </w:t>
      </w:r>
      <w:r w:rsidR="007B6ABD" w:rsidRPr="005021D3">
        <w:rPr>
          <w:rFonts w:eastAsia="Calibri" w:cs="Calibri Light"/>
        </w:rPr>
        <w:t xml:space="preserve">się </w:t>
      </w:r>
      <w:r w:rsidRPr="005021D3">
        <w:rPr>
          <w:rFonts w:eastAsia="Calibri" w:cs="Calibri Light"/>
        </w:rPr>
        <w:t xml:space="preserve">ubiegać oraz potrzebę szybkiego rozpatrzenia wniosku </w:t>
      </w:r>
      <w:r w:rsidR="007B6ABD">
        <w:rPr>
          <w:rFonts w:eastAsia="Calibri" w:cs="Calibri Light"/>
        </w:rPr>
        <w:br/>
      </w:r>
      <w:r w:rsidRPr="005021D3">
        <w:rPr>
          <w:rFonts w:eastAsia="Calibri" w:cs="Calibri Light"/>
        </w:rPr>
        <w:t>o dofinansowanie.</w:t>
      </w:r>
    </w:p>
    <w:p w14:paraId="2A7ECEC4" w14:textId="0078F089" w:rsidR="000304EC" w:rsidRDefault="000304EC" w:rsidP="008F2E99">
      <w:pPr>
        <w:pStyle w:val="Nagwek2"/>
      </w:pPr>
      <w:r>
        <w:lastRenderedPageBreak/>
        <w:t>Priorytet 6. Pomoc techniczna</w:t>
      </w:r>
    </w:p>
    <w:p w14:paraId="029DF97C" w14:textId="3795C86F" w:rsidR="00834F5C" w:rsidRDefault="00834F5C" w:rsidP="008F2E99">
      <w:pPr>
        <w:spacing w:after="0"/>
      </w:pPr>
      <w:r w:rsidRPr="00834F5C">
        <w:t xml:space="preserve">Założeniem priorytetu Pomoc techniczna jest zapewnienie sprawnego systemu realizacji Programu w latach 2018–2030. Priorytet gwarantuje środki finansowe na obsługę realizacji Programu i obejmuje swoim zakresem wsparcie wszystkich horyzontalnych działań i procesów z zakresu przygotowania, zarządzania, wdrażania, koordynacji, monitorowania, ewaluacji, informacji i komunikacji, rozpatrywania skarg oraz kontroli i audytu. Pomoc techniczna gwarantuje zapewnienie niezbędnych zasobów ludzkich oraz warunków gwarantujących sprawne działanie IZ, w tym w szczególności niezbędnego zaplecza technicznego </w:t>
      </w:r>
      <w:r w:rsidR="00113552">
        <w:t>dla skutecznej implementacji</w:t>
      </w:r>
      <w:r w:rsidRPr="00834F5C">
        <w:t xml:space="preserve"> Programu. Pomoc techniczna obejmuje swoim zakresem także rozwój potencjału organizacji – wnioskodawców, ze szczególnym uwzględnieniem wymiaru terytorialnego. Zakłada się realizację szkoleń oraz wykorzystanie innych form edukacyjnych na rzecz podniesienia kompetencji organizacji obywatelskich w zakresie rozwoju instytucjonalnego, zarządzania strategicznego, itp.</w:t>
      </w:r>
      <w:r>
        <w:t xml:space="preserve"> Pomoc techniczna obejmuje:</w:t>
      </w:r>
    </w:p>
    <w:p w14:paraId="53E07988" w14:textId="63587C0B" w:rsidR="00834F5C" w:rsidRDefault="00834F5C" w:rsidP="00834F5C">
      <w:pPr>
        <w:pStyle w:val="Akapitzlist"/>
        <w:numPr>
          <w:ilvl w:val="0"/>
          <w:numId w:val="33"/>
        </w:numPr>
        <w:spacing w:after="120"/>
      </w:pPr>
      <w:r>
        <w:t>wprowadzenie i realizację odpowiednich procedur zarządzania i kontroli, w tym zapewnienie wysokiej jakości obsługi wnioskodawców i beneficjentów Programu,</w:t>
      </w:r>
    </w:p>
    <w:p w14:paraId="246C3734" w14:textId="3346C762" w:rsidR="008F2E99" w:rsidRDefault="008F2E99" w:rsidP="00834F5C">
      <w:pPr>
        <w:pStyle w:val="Akapitzlist"/>
        <w:numPr>
          <w:ilvl w:val="0"/>
          <w:numId w:val="33"/>
        </w:numPr>
      </w:pPr>
      <w:r>
        <w:t>z</w:t>
      </w:r>
      <w:r w:rsidR="00113552">
        <w:t>apewnienie</w:t>
      </w:r>
      <w:r>
        <w:t xml:space="preserve"> technicznego i finansowego wsparcia procesów zarządzania, oceny wniosków, wdrażania, monitorowa</w:t>
      </w:r>
      <w:r w:rsidR="00834F5C">
        <w:t>nia i kontroli (w tym zapewnienie ekspertów, których zadaniem będzie ocena merytoryczna wniosków w ramach konkursów prowadzonych w ramach poszczególnych priorytetów Programu),</w:t>
      </w:r>
    </w:p>
    <w:p w14:paraId="668E9191" w14:textId="5E4376E2" w:rsidR="008F2E99" w:rsidRDefault="008F2E99" w:rsidP="008F2E99">
      <w:pPr>
        <w:pStyle w:val="Akapitzlist"/>
        <w:numPr>
          <w:ilvl w:val="0"/>
          <w:numId w:val="33"/>
        </w:numPr>
        <w:spacing w:after="120"/>
      </w:pPr>
      <w:r>
        <w:t>s</w:t>
      </w:r>
      <w:r w:rsidR="00113552">
        <w:t>prawną i efektywną realizację</w:t>
      </w:r>
      <w:r>
        <w:t xml:space="preserve"> działań informacyjnych i promocyjnych dotyczących wsparcia udzielanego w ramach Programu,</w:t>
      </w:r>
    </w:p>
    <w:p w14:paraId="3AB0651A" w14:textId="78348E89" w:rsidR="000304EC" w:rsidRDefault="00113552" w:rsidP="008F2E99">
      <w:pPr>
        <w:pStyle w:val="Akapitzlist"/>
        <w:numPr>
          <w:ilvl w:val="0"/>
          <w:numId w:val="33"/>
        </w:numPr>
        <w:spacing w:after="120"/>
      </w:pPr>
      <w:r>
        <w:t>zapewnienie</w:t>
      </w:r>
      <w:r w:rsidR="008F2E99">
        <w:t xml:space="preserve"> ewaluacji, monitoringu oraz audytu dotacji udzielanych w ramach Programu.</w:t>
      </w:r>
    </w:p>
    <w:p w14:paraId="67C97A0A" w14:textId="21007B16" w:rsidR="00B2612B" w:rsidRDefault="00B2612B">
      <w:pPr>
        <w:spacing w:after="160" w:line="259" w:lineRule="auto"/>
        <w:jc w:val="left"/>
      </w:pPr>
      <w:r>
        <w:br w:type="page"/>
      </w:r>
    </w:p>
    <w:p w14:paraId="421D7535" w14:textId="7B7E1B68" w:rsidR="00AE692C" w:rsidRDefault="00975B7F" w:rsidP="00AE692C">
      <w:pPr>
        <w:pStyle w:val="Nagwek1"/>
      </w:pPr>
      <w:bookmarkStart w:id="70" w:name="_Toc516642773"/>
      <w:bookmarkStart w:id="71" w:name="_Toc508718259"/>
      <w:bookmarkStart w:id="72" w:name="_Toc508718406"/>
      <w:bookmarkStart w:id="73" w:name="_Toc508718463"/>
      <w:bookmarkStart w:id="74" w:name="_Toc508718549"/>
      <w:bookmarkStart w:id="75" w:name="_Toc506902131"/>
      <w:r>
        <w:lastRenderedPageBreak/>
        <w:t>5</w:t>
      </w:r>
      <w:r w:rsidR="00AE692C">
        <w:t>. Rezultaty Programu</w:t>
      </w:r>
      <w:bookmarkEnd w:id="70"/>
    </w:p>
    <w:p w14:paraId="7F264665" w14:textId="41F16472" w:rsidR="00AE692C" w:rsidRDefault="00AE692C" w:rsidP="00AE692C">
      <w:pPr>
        <w:spacing w:after="0"/>
      </w:pPr>
      <w:r>
        <w:t xml:space="preserve">Interwencja w ramach Programu ma charakter ograniczony zarówno w odniesieniu do wielkości środków przeznaczonych na jego realizację jak również okres na jaki zaplanowano jego wdrażanie. Stąd efekty wdrożenia Programu należy z jednej strony rozpatrywać jako konkretne wyniki osiągane w okresie jego trwania, z drugiej strony zaś jako horyzontalne oddziaływania, które nie mogą zostać wprost wyrażone w mierzalnej formie. W odniesieniu do celów Programu zdefiniowano zatem oczekiwane rezultaty rozumiane jako szersze, długoterminowe zmiany strukturalne w odniesieniu do poziomu rozwoju instytucjonalnego organizacji społeczeństwa obywatelskiego w Polsce, z drugiej zaś rezultaty, które wyrażono w formie skwantyfikowanych wskaźników. </w:t>
      </w:r>
      <w:r w:rsidR="00953442">
        <w:t xml:space="preserve">Zidentyfikowano następujące </w:t>
      </w:r>
      <w:r>
        <w:t>rezultaty horyzontalne Programu rozumiane jako istotne zmiany osiągnięte w obszarze procesu budowy społeczeństwa obywatelskiego w Polsce:</w:t>
      </w:r>
    </w:p>
    <w:p w14:paraId="7A679037" w14:textId="77777777" w:rsidR="00AE692C" w:rsidRPr="00FD4A6F" w:rsidRDefault="00AE692C" w:rsidP="00AE692C">
      <w:pPr>
        <w:pStyle w:val="Listawypunktowana"/>
        <w:jc w:val="both"/>
      </w:pPr>
      <w:r>
        <w:t>w</w:t>
      </w:r>
      <w:r w:rsidRPr="00FD4A6F">
        <w:t>zrost zaangażowania organizacji obywatelskich w życie publiczne, w szczególności wyrażony zwiększeniem liczby organizacji zaangażowanych w procesy konsultacji społecznych na różnych poziomach</w:t>
      </w:r>
      <w:r>
        <w:t>,</w:t>
      </w:r>
    </w:p>
    <w:p w14:paraId="7214942D" w14:textId="77777777" w:rsidR="00AE692C" w:rsidRDefault="00AE692C" w:rsidP="00AE692C">
      <w:pPr>
        <w:pStyle w:val="Listawypunktowana"/>
        <w:jc w:val="both"/>
      </w:pPr>
      <w:r>
        <w:t>z</w:t>
      </w:r>
      <w:r w:rsidRPr="00FD4A6F">
        <w:t>większenie dynamiki dialogu obywatelskiego w Polsce</w:t>
      </w:r>
      <w:r>
        <w:t xml:space="preserve">, zbudowanie trwałych płaszczyzn kontaktów i wymiany informacji między organami administracji publicznej, </w:t>
      </w:r>
      <w:r>
        <w:br/>
        <w:t>a organizacjami trzeciego sektora, w zakresie wzajemnego przekazywania sobie opinii, ustaleń i założeń dotyczących celów, instrumentów i strategii wdrażania polityk publicznych na różnych poziomach,</w:t>
      </w:r>
    </w:p>
    <w:p w14:paraId="1A85687A" w14:textId="78D10165" w:rsidR="00AE692C" w:rsidRDefault="00AE692C" w:rsidP="00AE692C">
      <w:pPr>
        <w:pStyle w:val="Listawypunktowana"/>
        <w:jc w:val="both"/>
      </w:pPr>
      <w:r>
        <w:t xml:space="preserve">znacząca poprawa stabilności działania organizacji społeczeństwa obywatelskiego </w:t>
      </w:r>
      <w:r>
        <w:br/>
        <w:t>w wyniku dostępności środków „operacyjnych” pozwalających na realizację celów statuto</w:t>
      </w:r>
      <w:r w:rsidR="00602D1D">
        <w:t xml:space="preserve">wych poza bieżącymi projektami, głównie w zakresie rozwoju organizacyjnego, wzmocnienia zasobów, wdrożenia </w:t>
      </w:r>
      <w:r>
        <w:t>standardów zar</w:t>
      </w:r>
      <w:r w:rsidR="00E936A8">
        <w:t>zą</w:t>
      </w:r>
      <w:r>
        <w:t>dzania strategicznego</w:t>
      </w:r>
      <w:r w:rsidR="004333B7">
        <w:t>)</w:t>
      </w:r>
      <w:r>
        <w:t>,</w:t>
      </w:r>
    </w:p>
    <w:p w14:paraId="0B05D9FA" w14:textId="77777777" w:rsidR="00AE692C" w:rsidRDefault="00AE692C" w:rsidP="00AE692C">
      <w:pPr>
        <w:pStyle w:val="Listawypunktowana"/>
        <w:jc w:val="both"/>
      </w:pPr>
      <w:r>
        <w:t xml:space="preserve">wzmocnienie organizacji, które dotychczas z uwagi na profil lub specyfikę działalności miały ograniczone możliwości korzystania ze wsparcia publicznego (np. organizacje strażnicze i rzecznicze, </w:t>
      </w:r>
      <w:proofErr w:type="spellStart"/>
      <w:r>
        <w:t>think</w:t>
      </w:r>
      <w:proofErr w:type="spellEnd"/>
      <w:r>
        <w:t xml:space="preserve"> tanki, media obywatelskie, itp.),</w:t>
      </w:r>
    </w:p>
    <w:p w14:paraId="7A88147F" w14:textId="77777777" w:rsidR="00AE692C" w:rsidRDefault="00AE692C" w:rsidP="00AE692C">
      <w:pPr>
        <w:pStyle w:val="Listawypunktowana"/>
        <w:jc w:val="both"/>
      </w:pPr>
      <w:r>
        <w:t>poprawa bieżącej zdolności organizacji obywatelskich do realizacji podstawowych form działalności w wyniku możliwości skorzystania z unikatowej formy wsparcia doraźnego,</w:t>
      </w:r>
    </w:p>
    <w:p w14:paraId="518753AE" w14:textId="77777777" w:rsidR="00AE692C" w:rsidRPr="00FD4A6F" w:rsidRDefault="00AE692C" w:rsidP="00AE692C">
      <w:pPr>
        <w:pStyle w:val="Listawypunktowana"/>
        <w:jc w:val="both"/>
      </w:pPr>
      <w:r>
        <w:lastRenderedPageBreak/>
        <w:t xml:space="preserve">wzrost stabilności finansowej organizacji pozarządowych w perspektywie wieloletniej </w:t>
      </w:r>
      <w:r>
        <w:br/>
        <w:t>w wyniku istotnej interwencji na rzecz budowy kapitałów żelaznych w polskim sektorze obywatelskim.</w:t>
      </w:r>
    </w:p>
    <w:p w14:paraId="4E21BD86" w14:textId="3A6F0A54" w:rsidR="00AE692C" w:rsidRDefault="00975B7F" w:rsidP="00AE692C">
      <w:pPr>
        <w:pStyle w:val="Nagwek2"/>
        <w:rPr>
          <w:rFonts w:eastAsia="Times New Roman"/>
        </w:rPr>
      </w:pPr>
      <w:r>
        <w:rPr>
          <w:rFonts w:eastAsia="Times New Roman"/>
        </w:rPr>
        <w:t>5</w:t>
      </w:r>
      <w:r w:rsidR="00AE692C">
        <w:rPr>
          <w:rFonts w:eastAsia="Times New Roman"/>
        </w:rPr>
        <w:t>.1. Wskaźniki</w:t>
      </w:r>
    </w:p>
    <w:p w14:paraId="4FA22AAD" w14:textId="16E4446D" w:rsidR="00AE692C" w:rsidRDefault="00AE692C" w:rsidP="00AE692C">
      <w:pPr>
        <w:rPr>
          <w:rFonts w:eastAsia="Times New Roman"/>
        </w:rPr>
      </w:pPr>
      <w:r>
        <w:rPr>
          <w:rFonts w:eastAsia="Times New Roman"/>
        </w:rPr>
        <w:t>Zamieszczona poniżej tabela prezentuje oczekiwane rezultaty Programu wyrażone w formie skwantyfikowanych wskaźników.</w:t>
      </w:r>
    </w:p>
    <w:p w14:paraId="5D6880D6" w14:textId="0E823841" w:rsidR="00B47AE9" w:rsidRDefault="00B47AE9" w:rsidP="00B47AE9">
      <w:pPr>
        <w:pStyle w:val="Legenda"/>
        <w:keepNext/>
      </w:pPr>
      <w:r>
        <w:t xml:space="preserve">Tabela </w:t>
      </w:r>
      <w:r w:rsidR="00876468">
        <w:fldChar w:fldCharType="begin"/>
      </w:r>
      <w:r w:rsidR="00876468">
        <w:instrText xml:space="preserve"> SEQ Tabela \* ARABIC </w:instrText>
      </w:r>
      <w:r w:rsidR="00876468">
        <w:fldChar w:fldCharType="separate"/>
      </w:r>
      <w:r w:rsidR="00E74C5A">
        <w:rPr>
          <w:noProof/>
        </w:rPr>
        <w:t>2</w:t>
      </w:r>
      <w:r w:rsidR="00876468">
        <w:rPr>
          <w:noProof/>
        </w:rPr>
        <w:fldChar w:fldCharType="end"/>
      </w:r>
      <w:r w:rsidR="00314520">
        <w:rPr>
          <w:noProof/>
        </w:rPr>
        <w:t>.</w:t>
      </w:r>
      <w:r>
        <w:t xml:space="preserve"> Wskaźniki osiągnięcia celów Programu</w:t>
      </w:r>
    </w:p>
    <w:tbl>
      <w:tblPr>
        <w:tblStyle w:val="Zwykatabela31"/>
        <w:tblW w:w="9072" w:type="dxa"/>
        <w:tblLook w:val="0620" w:firstRow="1" w:lastRow="0" w:firstColumn="0" w:lastColumn="0" w:noHBand="1" w:noVBand="1"/>
      </w:tblPr>
      <w:tblGrid>
        <w:gridCol w:w="497"/>
        <w:gridCol w:w="6229"/>
        <w:gridCol w:w="1139"/>
        <w:gridCol w:w="1207"/>
      </w:tblGrid>
      <w:tr w:rsidR="00AE692C" w:rsidRPr="00005676" w14:paraId="739AFEC8" w14:textId="77777777" w:rsidTr="005E1292">
        <w:trPr>
          <w:cnfStyle w:val="100000000000" w:firstRow="1" w:lastRow="0" w:firstColumn="0" w:lastColumn="0" w:oddVBand="0" w:evenVBand="0" w:oddHBand="0" w:evenHBand="0" w:firstRowFirstColumn="0" w:firstRowLastColumn="0" w:lastRowFirstColumn="0" w:lastRowLastColumn="0"/>
          <w:trHeight w:val="850"/>
        </w:trPr>
        <w:tc>
          <w:tcPr>
            <w:tcW w:w="497" w:type="dxa"/>
            <w:vAlign w:val="center"/>
          </w:tcPr>
          <w:p w14:paraId="1B4C2157" w14:textId="77777777" w:rsidR="00AE692C" w:rsidRPr="005E1292" w:rsidRDefault="00AE692C" w:rsidP="008F7BD2">
            <w:pPr>
              <w:spacing w:line="276" w:lineRule="auto"/>
              <w:jc w:val="center"/>
              <w:rPr>
                <w:rFonts w:eastAsia="Times New Roman"/>
                <w:b w:val="0"/>
                <w:i/>
                <w:caps w:val="0"/>
                <w:sz w:val="22"/>
              </w:rPr>
            </w:pPr>
            <w:r w:rsidRPr="005E1292">
              <w:rPr>
                <w:rFonts w:eastAsia="Times New Roman"/>
                <w:b w:val="0"/>
                <w:i/>
                <w:caps w:val="0"/>
                <w:sz w:val="22"/>
              </w:rPr>
              <w:t>Lp.</w:t>
            </w:r>
          </w:p>
        </w:tc>
        <w:tc>
          <w:tcPr>
            <w:tcW w:w="6229" w:type="dxa"/>
            <w:vAlign w:val="center"/>
          </w:tcPr>
          <w:p w14:paraId="52A7CF0F" w14:textId="77777777" w:rsidR="00AE692C" w:rsidRPr="005E1292" w:rsidRDefault="00AE692C" w:rsidP="008F7BD2">
            <w:pPr>
              <w:spacing w:line="276" w:lineRule="auto"/>
              <w:jc w:val="center"/>
              <w:rPr>
                <w:rFonts w:eastAsia="Times New Roman"/>
                <w:b w:val="0"/>
                <w:i/>
                <w:caps w:val="0"/>
                <w:sz w:val="22"/>
              </w:rPr>
            </w:pPr>
            <w:r w:rsidRPr="005E1292">
              <w:rPr>
                <w:rFonts w:eastAsia="Times New Roman"/>
                <w:b w:val="0"/>
                <w:i/>
                <w:caps w:val="0"/>
                <w:sz w:val="22"/>
              </w:rPr>
              <w:t>Wskaźnik</w:t>
            </w:r>
          </w:p>
        </w:tc>
        <w:tc>
          <w:tcPr>
            <w:tcW w:w="1139" w:type="dxa"/>
            <w:vAlign w:val="center"/>
          </w:tcPr>
          <w:p w14:paraId="0ABF6518" w14:textId="77777777" w:rsidR="00AE692C" w:rsidRPr="005E1292" w:rsidRDefault="00AE692C" w:rsidP="008F7BD2">
            <w:pPr>
              <w:spacing w:line="276" w:lineRule="auto"/>
              <w:jc w:val="center"/>
              <w:rPr>
                <w:rFonts w:eastAsia="Times New Roman"/>
                <w:b w:val="0"/>
                <w:i/>
                <w:caps w:val="0"/>
                <w:sz w:val="22"/>
              </w:rPr>
            </w:pPr>
            <w:r w:rsidRPr="005E1292">
              <w:rPr>
                <w:rFonts w:eastAsia="Times New Roman"/>
                <w:b w:val="0"/>
                <w:i/>
                <w:caps w:val="0"/>
                <w:sz w:val="22"/>
              </w:rPr>
              <w:t xml:space="preserve">Wartość </w:t>
            </w:r>
            <w:r w:rsidRPr="005E1292">
              <w:rPr>
                <w:rFonts w:eastAsia="Times New Roman"/>
                <w:b w:val="0"/>
                <w:i/>
                <w:caps w:val="0"/>
                <w:sz w:val="22"/>
              </w:rPr>
              <w:br/>
              <w:t>bazowa</w:t>
            </w:r>
          </w:p>
        </w:tc>
        <w:tc>
          <w:tcPr>
            <w:tcW w:w="1207" w:type="dxa"/>
            <w:vAlign w:val="center"/>
          </w:tcPr>
          <w:p w14:paraId="6B95F9BF" w14:textId="77777777" w:rsidR="00AE692C" w:rsidRPr="005E1292" w:rsidRDefault="00AE692C" w:rsidP="008F7BD2">
            <w:pPr>
              <w:spacing w:line="276" w:lineRule="auto"/>
              <w:jc w:val="center"/>
              <w:rPr>
                <w:rFonts w:eastAsia="Times New Roman"/>
                <w:b w:val="0"/>
                <w:i/>
                <w:caps w:val="0"/>
                <w:sz w:val="22"/>
              </w:rPr>
            </w:pPr>
            <w:r w:rsidRPr="005E1292">
              <w:rPr>
                <w:rFonts w:eastAsia="Times New Roman"/>
                <w:b w:val="0"/>
                <w:i/>
                <w:caps w:val="0"/>
                <w:sz w:val="22"/>
              </w:rPr>
              <w:t xml:space="preserve">Wartość docelowa </w:t>
            </w:r>
          </w:p>
        </w:tc>
      </w:tr>
      <w:tr w:rsidR="00AE692C" w:rsidRPr="00005676" w14:paraId="53BD2B3A" w14:textId="77777777" w:rsidTr="005E1292">
        <w:trPr>
          <w:trHeight w:val="850"/>
        </w:trPr>
        <w:tc>
          <w:tcPr>
            <w:tcW w:w="497" w:type="dxa"/>
            <w:tcBorders>
              <w:top w:val="single" w:sz="4" w:space="0" w:color="7F7F7F" w:themeColor="text1" w:themeTint="80"/>
              <w:bottom w:val="single" w:sz="4" w:space="0" w:color="7F7F7F" w:themeColor="text1" w:themeTint="80"/>
            </w:tcBorders>
            <w:vAlign w:val="center"/>
          </w:tcPr>
          <w:p w14:paraId="1C2D3C2A" w14:textId="77777777" w:rsidR="00AE692C" w:rsidRPr="005E1292" w:rsidRDefault="00AE692C" w:rsidP="008F7BD2">
            <w:pPr>
              <w:spacing w:after="0" w:line="240" w:lineRule="auto"/>
              <w:jc w:val="left"/>
              <w:rPr>
                <w:rFonts w:eastAsia="Times New Roman"/>
                <w:sz w:val="22"/>
              </w:rPr>
            </w:pPr>
            <w:r w:rsidRPr="005E1292">
              <w:rPr>
                <w:rFonts w:eastAsia="Times New Roman"/>
                <w:caps/>
                <w:sz w:val="22"/>
              </w:rPr>
              <w:t>1</w:t>
            </w:r>
          </w:p>
        </w:tc>
        <w:tc>
          <w:tcPr>
            <w:tcW w:w="6229" w:type="dxa"/>
            <w:tcBorders>
              <w:top w:val="single" w:sz="4" w:space="0" w:color="7F7F7F" w:themeColor="text1" w:themeTint="80"/>
              <w:bottom w:val="single" w:sz="4" w:space="0" w:color="7F7F7F" w:themeColor="text1" w:themeTint="80"/>
            </w:tcBorders>
            <w:vAlign w:val="center"/>
          </w:tcPr>
          <w:p w14:paraId="0E69D454" w14:textId="4043494E" w:rsidR="00AE692C" w:rsidRPr="005E1292" w:rsidRDefault="0087015C" w:rsidP="008F7BD2">
            <w:pPr>
              <w:spacing w:after="0" w:line="240" w:lineRule="auto"/>
              <w:jc w:val="left"/>
              <w:rPr>
                <w:sz w:val="22"/>
              </w:rPr>
            </w:pPr>
            <w:r w:rsidRPr="005E1292">
              <w:rPr>
                <w:sz w:val="22"/>
              </w:rPr>
              <w:t>Odsetek organizacji non-profit, których główna dziedzina działalności statutowej jest definiowana w obszarze „prawo i jego ochrona, prawa człowieka”</w:t>
            </w:r>
          </w:p>
        </w:tc>
        <w:tc>
          <w:tcPr>
            <w:tcW w:w="1139" w:type="dxa"/>
            <w:tcBorders>
              <w:top w:val="single" w:sz="4" w:space="0" w:color="7F7F7F" w:themeColor="text1" w:themeTint="80"/>
              <w:bottom w:val="single" w:sz="4" w:space="0" w:color="7F7F7F" w:themeColor="text1" w:themeTint="80"/>
            </w:tcBorders>
            <w:vAlign w:val="center"/>
          </w:tcPr>
          <w:p w14:paraId="0D034F6B" w14:textId="08CF84AF" w:rsidR="00AE692C" w:rsidRPr="005E1292" w:rsidRDefault="00F71383" w:rsidP="008F7BD2">
            <w:pPr>
              <w:spacing w:after="0" w:line="240" w:lineRule="auto"/>
              <w:jc w:val="center"/>
              <w:rPr>
                <w:rFonts w:eastAsia="Times New Roman"/>
                <w:sz w:val="22"/>
              </w:rPr>
            </w:pPr>
            <w:r w:rsidRPr="005E1292">
              <w:rPr>
                <w:rFonts w:eastAsia="Times New Roman"/>
                <w:sz w:val="22"/>
              </w:rPr>
              <w:t>1,9</w:t>
            </w:r>
          </w:p>
        </w:tc>
        <w:tc>
          <w:tcPr>
            <w:tcW w:w="1207" w:type="dxa"/>
            <w:tcBorders>
              <w:top w:val="single" w:sz="4" w:space="0" w:color="7F7F7F" w:themeColor="text1" w:themeTint="80"/>
              <w:bottom w:val="single" w:sz="4" w:space="0" w:color="7F7F7F" w:themeColor="text1" w:themeTint="80"/>
            </w:tcBorders>
            <w:vAlign w:val="center"/>
          </w:tcPr>
          <w:p w14:paraId="530A787D" w14:textId="2FF2274D" w:rsidR="00AE692C" w:rsidRPr="005E1292" w:rsidRDefault="00F71383" w:rsidP="008F7BD2">
            <w:pPr>
              <w:spacing w:after="0" w:line="240" w:lineRule="auto"/>
              <w:jc w:val="center"/>
              <w:rPr>
                <w:rFonts w:eastAsia="Times New Roman"/>
                <w:sz w:val="22"/>
              </w:rPr>
            </w:pPr>
            <w:r w:rsidRPr="005E1292">
              <w:rPr>
                <w:rFonts w:eastAsia="Times New Roman"/>
                <w:sz w:val="22"/>
              </w:rPr>
              <w:t>3</w:t>
            </w:r>
          </w:p>
        </w:tc>
      </w:tr>
      <w:tr w:rsidR="0087015C" w:rsidRPr="00005676" w14:paraId="2F70CAC8" w14:textId="77777777" w:rsidTr="005E1292">
        <w:trPr>
          <w:trHeight w:val="850"/>
        </w:trPr>
        <w:tc>
          <w:tcPr>
            <w:tcW w:w="497" w:type="dxa"/>
            <w:tcBorders>
              <w:top w:val="single" w:sz="4" w:space="0" w:color="7F7F7F" w:themeColor="text1" w:themeTint="80"/>
              <w:bottom w:val="single" w:sz="4" w:space="0" w:color="7F7F7F" w:themeColor="text1" w:themeTint="80"/>
            </w:tcBorders>
            <w:vAlign w:val="center"/>
          </w:tcPr>
          <w:p w14:paraId="1B30256B" w14:textId="77777777" w:rsidR="0087015C" w:rsidRPr="005E1292" w:rsidRDefault="0087015C" w:rsidP="0087015C">
            <w:pPr>
              <w:spacing w:after="0" w:line="240" w:lineRule="auto"/>
              <w:jc w:val="left"/>
              <w:rPr>
                <w:rFonts w:eastAsia="Times New Roman"/>
                <w:sz w:val="22"/>
              </w:rPr>
            </w:pPr>
            <w:r w:rsidRPr="005E1292">
              <w:rPr>
                <w:rFonts w:eastAsia="Times New Roman"/>
                <w:caps/>
                <w:sz w:val="22"/>
              </w:rPr>
              <w:t>2</w:t>
            </w:r>
          </w:p>
        </w:tc>
        <w:tc>
          <w:tcPr>
            <w:tcW w:w="6229" w:type="dxa"/>
            <w:tcBorders>
              <w:top w:val="single" w:sz="4" w:space="0" w:color="7F7F7F" w:themeColor="text1" w:themeTint="80"/>
              <w:bottom w:val="single" w:sz="4" w:space="0" w:color="7F7F7F" w:themeColor="text1" w:themeTint="80"/>
            </w:tcBorders>
            <w:vAlign w:val="center"/>
          </w:tcPr>
          <w:p w14:paraId="21182914" w14:textId="2FAF339C" w:rsidR="0087015C" w:rsidRPr="005E1292" w:rsidRDefault="0087015C" w:rsidP="0087015C">
            <w:pPr>
              <w:spacing w:after="0" w:line="240" w:lineRule="auto"/>
              <w:jc w:val="left"/>
              <w:rPr>
                <w:sz w:val="22"/>
              </w:rPr>
            </w:pPr>
            <w:r w:rsidRPr="005E1292">
              <w:rPr>
                <w:sz w:val="22"/>
              </w:rPr>
              <w:t>Odsetek organizacji wskazujących trudności wewnętrzne w organizacji jako przeszkodę w działalności i rozwoju</w:t>
            </w:r>
          </w:p>
        </w:tc>
        <w:tc>
          <w:tcPr>
            <w:tcW w:w="1139" w:type="dxa"/>
            <w:tcBorders>
              <w:top w:val="single" w:sz="4" w:space="0" w:color="7F7F7F" w:themeColor="text1" w:themeTint="80"/>
              <w:bottom w:val="single" w:sz="4" w:space="0" w:color="7F7F7F" w:themeColor="text1" w:themeTint="80"/>
            </w:tcBorders>
            <w:vAlign w:val="center"/>
          </w:tcPr>
          <w:p w14:paraId="36ECA860" w14:textId="1F57D878" w:rsidR="0087015C" w:rsidRPr="005E1292" w:rsidRDefault="00E936A8" w:rsidP="0087015C">
            <w:pPr>
              <w:spacing w:after="0" w:line="240" w:lineRule="auto"/>
              <w:jc w:val="center"/>
              <w:rPr>
                <w:rFonts w:eastAsia="Times New Roman"/>
                <w:sz w:val="22"/>
              </w:rPr>
            </w:pPr>
            <w:r w:rsidRPr="005E1292">
              <w:rPr>
                <w:rFonts w:eastAsia="Times New Roman"/>
                <w:sz w:val="22"/>
              </w:rPr>
              <w:t>11,9</w:t>
            </w:r>
          </w:p>
        </w:tc>
        <w:tc>
          <w:tcPr>
            <w:tcW w:w="1207" w:type="dxa"/>
            <w:tcBorders>
              <w:top w:val="single" w:sz="4" w:space="0" w:color="7F7F7F" w:themeColor="text1" w:themeTint="80"/>
              <w:bottom w:val="single" w:sz="4" w:space="0" w:color="7F7F7F" w:themeColor="text1" w:themeTint="80"/>
            </w:tcBorders>
            <w:vAlign w:val="center"/>
          </w:tcPr>
          <w:p w14:paraId="300448FC" w14:textId="2B82DEA9" w:rsidR="0087015C" w:rsidRPr="005E1292" w:rsidRDefault="00F71383" w:rsidP="0087015C">
            <w:pPr>
              <w:spacing w:after="0" w:line="240" w:lineRule="auto"/>
              <w:jc w:val="center"/>
              <w:rPr>
                <w:rFonts w:eastAsia="Times New Roman"/>
                <w:sz w:val="22"/>
              </w:rPr>
            </w:pPr>
            <w:r w:rsidRPr="005E1292">
              <w:rPr>
                <w:rFonts w:eastAsia="Times New Roman"/>
                <w:sz w:val="22"/>
              </w:rPr>
              <w:t>7</w:t>
            </w:r>
          </w:p>
        </w:tc>
      </w:tr>
      <w:tr w:rsidR="0087015C" w:rsidRPr="00005676" w14:paraId="42C436EC" w14:textId="77777777" w:rsidTr="005E1292">
        <w:trPr>
          <w:trHeight w:val="850"/>
        </w:trPr>
        <w:tc>
          <w:tcPr>
            <w:tcW w:w="497" w:type="dxa"/>
            <w:tcBorders>
              <w:top w:val="single" w:sz="4" w:space="0" w:color="7F7F7F" w:themeColor="text1" w:themeTint="80"/>
              <w:bottom w:val="single" w:sz="4" w:space="0" w:color="7F7F7F" w:themeColor="text1" w:themeTint="80"/>
            </w:tcBorders>
            <w:vAlign w:val="center"/>
          </w:tcPr>
          <w:p w14:paraId="15202F54" w14:textId="77777777" w:rsidR="0087015C" w:rsidRPr="005E1292" w:rsidRDefault="0087015C" w:rsidP="0087015C">
            <w:pPr>
              <w:spacing w:after="0" w:line="240" w:lineRule="auto"/>
              <w:jc w:val="left"/>
              <w:rPr>
                <w:rFonts w:eastAsia="Times New Roman"/>
                <w:sz w:val="22"/>
              </w:rPr>
            </w:pPr>
            <w:r w:rsidRPr="005E1292">
              <w:rPr>
                <w:rFonts w:eastAsia="Times New Roman"/>
                <w:caps/>
                <w:sz w:val="22"/>
              </w:rPr>
              <w:t>3</w:t>
            </w:r>
          </w:p>
        </w:tc>
        <w:tc>
          <w:tcPr>
            <w:tcW w:w="6229" w:type="dxa"/>
            <w:tcBorders>
              <w:top w:val="single" w:sz="4" w:space="0" w:color="7F7F7F" w:themeColor="text1" w:themeTint="80"/>
              <w:bottom w:val="single" w:sz="4" w:space="0" w:color="7F7F7F" w:themeColor="text1" w:themeTint="80"/>
            </w:tcBorders>
            <w:vAlign w:val="center"/>
          </w:tcPr>
          <w:p w14:paraId="0EC466BC" w14:textId="2B5B306D" w:rsidR="0087015C" w:rsidRPr="005E1292" w:rsidRDefault="0087015C" w:rsidP="0087015C">
            <w:pPr>
              <w:spacing w:after="0" w:line="240" w:lineRule="auto"/>
              <w:jc w:val="left"/>
              <w:rPr>
                <w:sz w:val="22"/>
              </w:rPr>
            </w:pPr>
            <w:r w:rsidRPr="005E1292">
              <w:rPr>
                <w:sz w:val="22"/>
              </w:rPr>
              <w:t xml:space="preserve">Odsetek organizacji, które wskazują trudności w pozyskiwaniu </w:t>
            </w:r>
            <w:r w:rsidR="00E936A8" w:rsidRPr="005E1292">
              <w:rPr>
                <w:sz w:val="22"/>
              </w:rPr>
              <w:t>środków finansowych jako barierę</w:t>
            </w:r>
            <w:r w:rsidRPr="005E1292">
              <w:rPr>
                <w:sz w:val="22"/>
              </w:rPr>
              <w:t xml:space="preserve"> w działalności</w:t>
            </w:r>
          </w:p>
        </w:tc>
        <w:tc>
          <w:tcPr>
            <w:tcW w:w="1139" w:type="dxa"/>
            <w:tcBorders>
              <w:top w:val="single" w:sz="4" w:space="0" w:color="7F7F7F" w:themeColor="text1" w:themeTint="80"/>
              <w:bottom w:val="single" w:sz="4" w:space="0" w:color="7F7F7F" w:themeColor="text1" w:themeTint="80"/>
            </w:tcBorders>
            <w:vAlign w:val="center"/>
          </w:tcPr>
          <w:p w14:paraId="1FA5FD23" w14:textId="65D0763F" w:rsidR="0087015C" w:rsidRPr="005E1292" w:rsidRDefault="00E936A8" w:rsidP="0087015C">
            <w:pPr>
              <w:spacing w:after="0" w:line="240" w:lineRule="auto"/>
              <w:jc w:val="center"/>
              <w:rPr>
                <w:rFonts w:eastAsia="Times New Roman"/>
                <w:sz w:val="22"/>
              </w:rPr>
            </w:pPr>
            <w:r w:rsidRPr="005E1292">
              <w:rPr>
                <w:rFonts w:eastAsia="Times New Roman"/>
                <w:sz w:val="22"/>
              </w:rPr>
              <w:t>43,9</w:t>
            </w:r>
          </w:p>
        </w:tc>
        <w:tc>
          <w:tcPr>
            <w:tcW w:w="1207" w:type="dxa"/>
            <w:tcBorders>
              <w:top w:val="single" w:sz="4" w:space="0" w:color="7F7F7F" w:themeColor="text1" w:themeTint="80"/>
              <w:bottom w:val="single" w:sz="4" w:space="0" w:color="7F7F7F" w:themeColor="text1" w:themeTint="80"/>
            </w:tcBorders>
            <w:vAlign w:val="center"/>
          </w:tcPr>
          <w:p w14:paraId="3DECDC17" w14:textId="45F2DB86" w:rsidR="0087015C" w:rsidRPr="005E1292" w:rsidRDefault="00E936A8" w:rsidP="0087015C">
            <w:pPr>
              <w:spacing w:after="0" w:line="240" w:lineRule="auto"/>
              <w:jc w:val="center"/>
              <w:rPr>
                <w:rFonts w:eastAsia="Times New Roman"/>
                <w:sz w:val="22"/>
              </w:rPr>
            </w:pPr>
            <w:r w:rsidRPr="005E1292">
              <w:rPr>
                <w:rFonts w:eastAsia="Times New Roman"/>
                <w:sz w:val="22"/>
              </w:rPr>
              <w:t>38</w:t>
            </w:r>
          </w:p>
        </w:tc>
      </w:tr>
      <w:tr w:rsidR="0087015C" w:rsidRPr="00005676" w14:paraId="5B7A41E2" w14:textId="77777777" w:rsidTr="005E1292">
        <w:trPr>
          <w:trHeight w:val="850"/>
        </w:trPr>
        <w:tc>
          <w:tcPr>
            <w:tcW w:w="497" w:type="dxa"/>
            <w:tcBorders>
              <w:top w:val="single" w:sz="4" w:space="0" w:color="7F7F7F" w:themeColor="text1" w:themeTint="80"/>
              <w:bottom w:val="single" w:sz="4" w:space="0" w:color="7F7F7F" w:themeColor="text1" w:themeTint="80"/>
            </w:tcBorders>
            <w:vAlign w:val="center"/>
          </w:tcPr>
          <w:p w14:paraId="7C7BCA08" w14:textId="77777777" w:rsidR="0087015C" w:rsidRPr="005E1292" w:rsidRDefault="0087015C" w:rsidP="0087015C">
            <w:pPr>
              <w:spacing w:after="0" w:line="240" w:lineRule="auto"/>
              <w:jc w:val="left"/>
              <w:rPr>
                <w:rFonts w:eastAsia="Times New Roman"/>
                <w:sz w:val="22"/>
              </w:rPr>
            </w:pPr>
            <w:r w:rsidRPr="005E1292">
              <w:rPr>
                <w:rFonts w:eastAsia="Times New Roman"/>
                <w:caps/>
                <w:sz w:val="22"/>
              </w:rPr>
              <w:t>4</w:t>
            </w:r>
          </w:p>
        </w:tc>
        <w:tc>
          <w:tcPr>
            <w:tcW w:w="6229" w:type="dxa"/>
            <w:tcBorders>
              <w:top w:val="single" w:sz="4" w:space="0" w:color="7F7F7F" w:themeColor="text1" w:themeTint="80"/>
              <w:bottom w:val="single" w:sz="4" w:space="0" w:color="7F7F7F" w:themeColor="text1" w:themeTint="80"/>
            </w:tcBorders>
            <w:vAlign w:val="center"/>
          </w:tcPr>
          <w:p w14:paraId="34028DFE" w14:textId="33810E24" w:rsidR="0087015C" w:rsidRPr="005E1292" w:rsidRDefault="0087015C" w:rsidP="0087015C">
            <w:pPr>
              <w:spacing w:after="0" w:line="240" w:lineRule="auto"/>
              <w:jc w:val="left"/>
              <w:rPr>
                <w:sz w:val="22"/>
              </w:rPr>
            </w:pPr>
            <w:r w:rsidRPr="005E1292">
              <w:rPr>
                <w:sz w:val="22"/>
              </w:rPr>
              <w:t xml:space="preserve">Przychody pochodzące z odsetek i dywidend jako </w:t>
            </w:r>
            <w:r w:rsidRPr="005E1292">
              <w:rPr>
                <w:sz w:val="22"/>
              </w:rPr>
              <w:br/>
              <w:t>% przychodów organizacji ogółem</w:t>
            </w:r>
          </w:p>
        </w:tc>
        <w:tc>
          <w:tcPr>
            <w:tcW w:w="1139" w:type="dxa"/>
            <w:tcBorders>
              <w:top w:val="single" w:sz="4" w:space="0" w:color="7F7F7F" w:themeColor="text1" w:themeTint="80"/>
              <w:bottom w:val="single" w:sz="4" w:space="0" w:color="7F7F7F" w:themeColor="text1" w:themeTint="80"/>
            </w:tcBorders>
            <w:vAlign w:val="center"/>
          </w:tcPr>
          <w:p w14:paraId="610E1121" w14:textId="05C2EF6D" w:rsidR="0087015C" w:rsidRPr="005E1292" w:rsidRDefault="00E936A8" w:rsidP="0087015C">
            <w:pPr>
              <w:spacing w:after="0" w:line="240" w:lineRule="auto"/>
              <w:jc w:val="center"/>
              <w:rPr>
                <w:rFonts w:eastAsia="Times New Roman"/>
                <w:sz w:val="22"/>
              </w:rPr>
            </w:pPr>
            <w:r w:rsidRPr="005E1292">
              <w:rPr>
                <w:rFonts w:eastAsia="Times New Roman"/>
                <w:sz w:val="22"/>
              </w:rPr>
              <w:t>0,7</w:t>
            </w:r>
          </w:p>
        </w:tc>
        <w:tc>
          <w:tcPr>
            <w:tcW w:w="1207" w:type="dxa"/>
            <w:tcBorders>
              <w:top w:val="single" w:sz="4" w:space="0" w:color="7F7F7F" w:themeColor="text1" w:themeTint="80"/>
              <w:bottom w:val="single" w:sz="4" w:space="0" w:color="7F7F7F" w:themeColor="text1" w:themeTint="80"/>
            </w:tcBorders>
            <w:vAlign w:val="center"/>
          </w:tcPr>
          <w:p w14:paraId="73B4003E" w14:textId="44398E4B" w:rsidR="0087015C" w:rsidRPr="005E1292" w:rsidRDefault="00E936A8" w:rsidP="0087015C">
            <w:pPr>
              <w:spacing w:after="0" w:line="240" w:lineRule="auto"/>
              <w:jc w:val="center"/>
              <w:rPr>
                <w:rFonts w:eastAsia="Times New Roman"/>
                <w:sz w:val="22"/>
              </w:rPr>
            </w:pPr>
            <w:r w:rsidRPr="005E1292">
              <w:rPr>
                <w:rFonts w:eastAsia="Times New Roman"/>
                <w:sz w:val="22"/>
              </w:rPr>
              <w:t>2</w:t>
            </w:r>
          </w:p>
        </w:tc>
      </w:tr>
      <w:tr w:rsidR="0087015C" w:rsidRPr="00005676" w14:paraId="085DCA00" w14:textId="77777777" w:rsidTr="005E1292">
        <w:trPr>
          <w:trHeight w:val="850"/>
        </w:trPr>
        <w:tc>
          <w:tcPr>
            <w:tcW w:w="497" w:type="dxa"/>
            <w:tcBorders>
              <w:top w:val="single" w:sz="4" w:space="0" w:color="7F7F7F" w:themeColor="text1" w:themeTint="80"/>
              <w:bottom w:val="single" w:sz="4" w:space="0" w:color="7F7F7F" w:themeColor="text1" w:themeTint="80"/>
            </w:tcBorders>
            <w:vAlign w:val="center"/>
          </w:tcPr>
          <w:p w14:paraId="7C3E6293" w14:textId="77777777" w:rsidR="0087015C" w:rsidRPr="005E1292" w:rsidRDefault="0087015C" w:rsidP="0087015C">
            <w:pPr>
              <w:spacing w:after="0" w:line="240" w:lineRule="auto"/>
              <w:jc w:val="left"/>
              <w:rPr>
                <w:rFonts w:eastAsia="Times New Roman"/>
                <w:sz w:val="22"/>
              </w:rPr>
            </w:pPr>
            <w:r w:rsidRPr="005E1292">
              <w:rPr>
                <w:rFonts w:eastAsia="Times New Roman"/>
                <w:caps/>
                <w:sz w:val="22"/>
              </w:rPr>
              <w:t>5</w:t>
            </w:r>
          </w:p>
        </w:tc>
        <w:tc>
          <w:tcPr>
            <w:tcW w:w="6229" w:type="dxa"/>
            <w:tcBorders>
              <w:top w:val="single" w:sz="4" w:space="0" w:color="7F7F7F" w:themeColor="text1" w:themeTint="80"/>
              <w:bottom w:val="single" w:sz="4" w:space="0" w:color="7F7F7F" w:themeColor="text1" w:themeTint="80"/>
            </w:tcBorders>
            <w:vAlign w:val="center"/>
          </w:tcPr>
          <w:p w14:paraId="00589BB1" w14:textId="6FC93BF6" w:rsidR="0087015C" w:rsidRPr="005E1292" w:rsidRDefault="003562CF" w:rsidP="003562CF">
            <w:pPr>
              <w:spacing w:after="0" w:line="240" w:lineRule="auto"/>
              <w:jc w:val="left"/>
              <w:rPr>
                <w:sz w:val="22"/>
              </w:rPr>
            </w:pPr>
            <w:r w:rsidRPr="005E1292">
              <w:rPr>
                <w:sz w:val="22"/>
              </w:rPr>
              <w:t>Syntetyczny wskaźnik</w:t>
            </w:r>
            <w:r w:rsidR="0087015C" w:rsidRPr="005E1292">
              <w:rPr>
                <w:sz w:val="22"/>
              </w:rPr>
              <w:t xml:space="preserve"> profesjonalizacji zarządzania organizacjami non-profit</w:t>
            </w:r>
            <w:r w:rsidR="003E0771" w:rsidRPr="005E1292">
              <w:rPr>
                <w:sz w:val="22"/>
              </w:rPr>
              <w:t xml:space="preserve"> (w skali od 1 – wartość najniższa, </w:t>
            </w:r>
            <w:r w:rsidR="003E0771" w:rsidRPr="005E1292">
              <w:rPr>
                <w:sz w:val="22"/>
              </w:rPr>
              <w:br/>
              <w:t>do 10 – wartość najwyższa)</w:t>
            </w:r>
          </w:p>
        </w:tc>
        <w:tc>
          <w:tcPr>
            <w:tcW w:w="1139" w:type="dxa"/>
            <w:tcBorders>
              <w:top w:val="single" w:sz="4" w:space="0" w:color="7F7F7F" w:themeColor="text1" w:themeTint="80"/>
              <w:bottom w:val="single" w:sz="4" w:space="0" w:color="7F7F7F" w:themeColor="text1" w:themeTint="80"/>
            </w:tcBorders>
            <w:vAlign w:val="center"/>
          </w:tcPr>
          <w:p w14:paraId="62597332" w14:textId="205C2D1D" w:rsidR="0087015C" w:rsidRPr="005E1292" w:rsidRDefault="00F62E14" w:rsidP="0087015C">
            <w:pPr>
              <w:spacing w:after="0" w:line="240" w:lineRule="auto"/>
              <w:jc w:val="center"/>
              <w:rPr>
                <w:rFonts w:eastAsia="Times New Roman"/>
                <w:sz w:val="22"/>
              </w:rPr>
            </w:pPr>
            <w:r w:rsidRPr="005E1292">
              <w:rPr>
                <w:rFonts w:eastAsia="Times New Roman"/>
                <w:sz w:val="22"/>
              </w:rPr>
              <w:t>3,6</w:t>
            </w:r>
            <w:r w:rsidR="00E936A8" w:rsidRPr="005E1292">
              <w:rPr>
                <w:rFonts w:eastAsia="Times New Roman"/>
                <w:sz w:val="22"/>
              </w:rPr>
              <w:t>5</w:t>
            </w:r>
          </w:p>
        </w:tc>
        <w:tc>
          <w:tcPr>
            <w:tcW w:w="1207" w:type="dxa"/>
            <w:tcBorders>
              <w:top w:val="single" w:sz="4" w:space="0" w:color="7F7F7F" w:themeColor="text1" w:themeTint="80"/>
              <w:bottom w:val="single" w:sz="4" w:space="0" w:color="7F7F7F" w:themeColor="text1" w:themeTint="80"/>
            </w:tcBorders>
            <w:vAlign w:val="center"/>
          </w:tcPr>
          <w:p w14:paraId="1CA53137" w14:textId="0EA0062A" w:rsidR="0087015C" w:rsidRPr="005E1292" w:rsidRDefault="00E936A8" w:rsidP="0087015C">
            <w:pPr>
              <w:spacing w:after="0" w:line="240" w:lineRule="auto"/>
              <w:jc w:val="center"/>
              <w:rPr>
                <w:rFonts w:eastAsia="Times New Roman"/>
                <w:sz w:val="22"/>
              </w:rPr>
            </w:pPr>
            <w:r w:rsidRPr="005E1292">
              <w:rPr>
                <w:rFonts w:eastAsia="Times New Roman"/>
                <w:sz w:val="22"/>
              </w:rPr>
              <w:t>4,5</w:t>
            </w:r>
          </w:p>
        </w:tc>
      </w:tr>
      <w:tr w:rsidR="0087015C" w:rsidRPr="00005676" w14:paraId="2A0D72EA" w14:textId="77777777" w:rsidTr="005E1292">
        <w:trPr>
          <w:trHeight w:val="850"/>
        </w:trPr>
        <w:tc>
          <w:tcPr>
            <w:tcW w:w="497" w:type="dxa"/>
            <w:tcBorders>
              <w:top w:val="single" w:sz="4" w:space="0" w:color="7F7F7F" w:themeColor="text1" w:themeTint="80"/>
              <w:bottom w:val="single" w:sz="4" w:space="0" w:color="7F7F7F" w:themeColor="text1" w:themeTint="80"/>
            </w:tcBorders>
            <w:vAlign w:val="center"/>
          </w:tcPr>
          <w:p w14:paraId="111B0C43" w14:textId="77777777" w:rsidR="0087015C" w:rsidRPr="005E1292" w:rsidRDefault="0087015C" w:rsidP="0087015C">
            <w:pPr>
              <w:spacing w:after="0" w:line="240" w:lineRule="auto"/>
              <w:jc w:val="left"/>
              <w:rPr>
                <w:rFonts w:eastAsia="Times New Roman"/>
                <w:sz w:val="22"/>
              </w:rPr>
            </w:pPr>
            <w:r w:rsidRPr="005E1292">
              <w:rPr>
                <w:rFonts w:eastAsia="Times New Roman"/>
                <w:caps/>
                <w:sz w:val="22"/>
              </w:rPr>
              <w:t>6</w:t>
            </w:r>
          </w:p>
        </w:tc>
        <w:tc>
          <w:tcPr>
            <w:tcW w:w="6229" w:type="dxa"/>
            <w:tcBorders>
              <w:top w:val="single" w:sz="4" w:space="0" w:color="7F7F7F" w:themeColor="text1" w:themeTint="80"/>
              <w:bottom w:val="single" w:sz="4" w:space="0" w:color="7F7F7F" w:themeColor="text1" w:themeTint="80"/>
            </w:tcBorders>
            <w:vAlign w:val="center"/>
          </w:tcPr>
          <w:p w14:paraId="55B22AE6" w14:textId="77777777" w:rsidR="0087015C" w:rsidRPr="005E1292" w:rsidRDefault="0087015C" w:rsidP="0087015C">
            <w:pPr>
              <w:spacing w:after="0" w:line="240" w:lineRule="auto"/>
              <w:jc w:val="left"/>
              <w:rPr>
                <w:sz w:val="22"/>
              </w:rPr>
            </w:pPr>
            <w:r w:rsidRPr="005E1292">
              <w:rPr>
                <w:sz w:val="22"/>
              </w:rPr>
              <w:t>Odsetek organizacji non-profit współpracujących z przedsiębiorstwami</w:t>
            </w:r>
          </w:p>
        </w:tc>
        <w:tc>
          <w:tcPr>
            <w:tcW w:w="1139" w:type="dxa"/>
            <w:tcBorders>
              <w:top w:val="single" w:sz="4" w:space="0" w:color="7F7F7F" w:themeColor="text1" w:themeTint="80"/>
              <w:bottom w:val="single" w:sz="4" w:space="0" w:color="7F7F7F" w:themeColor="text1" w:themeTint="80"/>
            </w:tcBorders>
            <w:vAlign w:val="center"/>
          </w:tcPr>
          <w:p w14:paraId="2F249B1D" w14:textId="0098E052" w:rsidR="0087015C" w:rsidRPr="005E1292" w:rsidRDefault="00E936A8" w:rsidP="0087015C">
            <w:pPr>
              <w:spacing w:after="0" w:line="240" w:lineRule="auto"/>
              <w:jc w:val="center"/>
              <w:rPr>
                <w:rFonts w:eastAsia="Times New Roman"/>
                <w:sz w:val="22"/>
              </w:rPr>
            </w:pPr>
            <w:r w:rsidRPr="005E1292">
              <w:rPr>
                <w:rFonts w:eastAsia="Times New Roman"/>
                <w:sz w:val="22"/>
              </w:rPr>
              <w:t>34,6</w:t>
            </w:r>
          </w:p>
        </w:tc>
        <w:tc>
          <w:tcPr>
            <w:tcW w:w="1207" w:type="dxa"/>
            <w:tcBorders>
              <w:top w:val="single" w:sz="4" w:space="0" w:color="7F7F7F" w:themeColor="text1" w:themeTint="80"/>
              <w:bottom w:val="single" w:sz="4" w:space="0" w:color="7F7F7F" w:themeColor="text1" w:themeTint="80"/>
            </w:tcBorders>
            <w:vAlign w:val="center"/>
          </w:tcPr>
          <w:p w14:paraId="2A5F6E0B" w14:textId="3AD284C5" w:rsidR="0087015C" w:rsidRPr="005E1292" w:rsidRDefault="00E936A8" w:rsidP="0087015C">
            <w:pPr>
              <w:spacing w:after="0" w:line="240" w:lineRule="auto"/>
              <w:jc w:val="center"/>
              <w:rPr>
                <w:rFonts w:eastAsia="Times New Roman"/>
                <w:sz w:val="22"/>
              </w:rPr>
            </w:pPr>
            <w:r w:rsidRPr="005E1292">
              <w:rPr>
                <w:rFonts w:eastAsia="Times New Roman"/>
                <w:sz w:val="22"/>
              </w:rPr>
              <w:t>40</w:t>
            </w:r>
          </w:p>
        </w:tc>
      </w:tr>
      <w:tr w:rsidR="003562CF" w:rsidRPr="00005676" w14:paraId="143B02C6" w14:textId="77777777" w:rsidTr="005E1292">
        <w:trPr>
          <w:trHeight w:val="850"/>
        </w:trPr>
        <w:tc>
          <w:tcPr>
            <w:tcW w:w="497" w:type="dxa"/>
            <w:tcBorders>
              <w:top w:val="single" w:sz="4" w:space="0" w:color="7F7F7F" w:themeColor="text1" w:themeTint="80"/>
              <w:bottom w:val="single" w:sz="4" w:space="0" w:color="7F7F7F" w:themeColor="text1" w:themeTint="80"/>
            </w:tcBorders>
            <w:vAlign w:val="center"/>
          </w:tcPr>
          <w:p w14:paraId="60FE4975" w14:textId="77777777" w:rsidR="003562CF" w:rsidRPr="005E1292" w:rsidRDefault="003562CF" w:rsidP="003562CF">
            <w:pPr>
              <w:spacing w:after="0" w:line="240" w:lineRule="auto"/>
              <w:jc w:val="left"/>
              <w:rPr>
                <w:rFonts w:eastAsia="Times New Roman"/>
                <w:sz w:val="22"/>
              </w:rPr>
            </w:pPr>
            <w:r w:rsidRPr="005E1292">
              <w:rPr>
                <w:rFonts w:eastAsia="Times New Roman"/>
                <w:caps/>
                <w:sz w:val="22"/>
              </w:rPr>
              <w:t>7</w:t>
            </w:r>
          </w:p>
        </w:tc>
        <w:tc>
          <w:tcPr>
            <w:tcW w:w="6229" w:type="dxa"/>
            <w:tcBorders>
              <w:top w:val="single" w:sz="4" w:space="0" w:color="7F7F7F" w:themeColor="text1" w:themeTint="80"/>
              <w:bottom w:val="single" w:sz="4" w:space="0" w:color="7F7F7F" w:themeColor="text1" w:themeTint="80"/>
            </w:tcBorders>
            <w:vAlign w:val="center"/>
          </w:tcPr>
          <w:p w14:paraId="1654EE2A" w14:textId="5EE1F25E" w:rsidR="003562CF" w:rsidRPr="005E1292" w:rsidRDefault="003562CF" w:rsidP="003562CF">
            <w:pPr>
              <w:spacing w:after="0" w:line="240" w:lineRule="auto"/>
              <w:jc w:val="left"/>
              <w:rPr>
                <w:sz w:val="22"/>
              </w:rPr>
            </w:pPr>
            <w:r w:rsidRPr="005E1292">
              <w:rPr>
                <w:sz w:val="22"/>
              </w:rPr>
              <w:t>Odsetek organizacji non-profit, w których funkcjonował dokument strategiczny</w:t>
            </w:r>
          </w:p>
        </w:tc>
        <w:tc>
          <w:tcPr>
            <w:tcW w:w="1139" w:type="dxa"/>
            <w:tcBorders>
              <w:top w:val="single" w:sz="4" w:space="0" w:color="7F7F7F" w:themeColor="text1" w:themeTint="80"/>
              <w:bottom w:val="single" w:sz="4" w:space="0" w:color="7F7F7F" w:themeColor="text1" w:themeTint="80"/>
            </w:tcBorders>
            <w:vAlign w:val="center"/>
          </w:tcPr>
          <w:p w14:paraId="534180DF" w14:textId="467BA172" w:rsidR="003562CF" w:rsidRPr="005E1292" w:rsidRDefault="00F62E14" w:rsidP="003562CF">
            <w:pPr>
              <w:spacing w:after="0" w:line="240" w:lineRule="auto"/>
              <w:jc w:val="center"/>
              <w:rPr>
                <w:rFonts w:eastAsia="Times New Roman"/>
                <w:sz w:val="22"/>
              </w:rPr>
            </w:pPr>
            <w:r w:rsidRPr="005E1292">
              <w:rPr>
                <w:rFonts w:eastAsia="Times New Roman"/>
                <w:sz w:val="22"/>
              </w:rPr>
              <w:t>10</w:t>
            </w:r>
            <w:r w:rsidR="00E47BBE" w:rsidRPr="005E1292">
              <w:rPr>
                <w:rFonts w:eastAsia="Times New Roman"/>
                <w:sz w:val="22"/>
              </w:rPr>
              <w:t>,4</w:t>
            </w:r>
          </w:p>
        </w:tc>
        <w:tc>
          <w:tcPr>
            <w:tcW w:w="1207" w:type="dxa"/>
            <w:tcBorders>
              <w:top w:val="single" w:sz="4" w:space="0" w:color="7F7F7F" w:themeColor="text1" w:themeTint="80"/>
              <w:bottom w:val="single" w:sz="4" w:space="0" w:color="7F7F7F" w:themeColor="text1" w:themeTint="80"/>
            </w:tcBorders>
            <w:vAlign w:val="center"/>
          </w:tcPr>
          <w:p w14:paraId="12F9CD05" w14:textId="7284203C" w:rsidR="003562CF" w:rsidRPr="005E1292" w:rsidRDefault="00E47BBE" w:rsidP="003562CF">
            <w:pPr>
              <w:spacing w:after="0" w:line="240" w:lineRule="auto"/>
              <w:jc w:val="center"/>
              <w:rPr>
                <w:rFonts w:eastAsia="Times New Roman"/>
                <w:sz w:val="22"/>
              </w:rPr>
            </w:pPr>
            <w:r w:rsidRPr="005E1292">
              <w:rPr>
                <w:rFonts w:eastAsia="Times New Roman"/>
                <w:sz w:val="22"/>
              </w:rPr>
              <w:t>15</w:t>
            </w:r>
          </w:p>
        </w:tc>
      </w:tr>
      <w:tr w:rsidR="003562CF" w:rsidRPr="00005676" w14:paraId="5B40325E" w14:textId="77777777" w:rsidTr="005E1292">
        <w:trPr>
          <w:trHeight w:val="850"/>
        </w:trPr>
        <w:tc>
          <w:tcPr>
            <w:tcW w:w="497" w:type="dxa"/>
            <w:tcBorders>
              <w:top w:val="single" w:sz="4" w:space="0" w:color="7F7F7F" w:themeColor="text1" w:themeTint="80"/>
              <w:bottom w:val="single" w:sz="4" w:space="0" w:color="7F7F7F" w:themeColor="text1" w:themeTint="80"/>
            </w:tcBorders>
            <w:vAlign w:val="center"/>
          </w:tcPr>
          <w:p w14:paraId="36E6241F" w14:textId="77777777" w:rsidR="003562CF" w:rsidRPr="005E1292" w:rsidRDefault="003562CF" w:rsidP="003562CF">
            <w:pPr>
              <w:spacing w:after="0" w:line="240" w:lineRule="auto"/>
              <w:jc w:val="left"/>
              <w:rPr>
                <w:rFonts w:eastAsia="Times New Roman"/>
                <w:caps/>
                <w:sz w:val="22"/>
              </w:rPr>
            </w:pPr>
            <w:r w:rsidRPr="005E1292">
              <w:rPr>
                <w:rFonts w:eastAsia="Times New Roman"/>
                <w:caps/>
                <w:sz w:val="22"/>
              </w:rPr>
              <w:t>8</w:t>
            </w:r>
          </w:p>
        </w:tc>
        <w:tc>
          <w:tcPr>
            <w:tcW w:w="6229" w:type="dxa"/>
            <w:tcBorders>
              <w:top w:val="single" w:sz="4" w:space="0" w:color="7F7F7F" w:themeColor="text1" w:themeTint="80"/>
              <w:bottom w:val="single" w:sz="4" w:space="0" w:color="7F7F7F" w:themeColor="text1" w:themeTint="80"/>
            </w:tcBorders>
            <w:vAlign w:val="center"/>
          </w:tcPr>
          <w:p w14:paraId="360489F6" w14:textId="1DC1ABA5" w:rsidR="003562CF" w:rsidRPr="005E1292" w:rsidRDefault="003562CF" w:rsidP="003E0771">
            <w:pPr>
              <w:spacing w:after="0" w:line="240" w:lineRule="auto"/>
              <w:jc w:val="left"/>
              <w:rPr>
                <w:sz w:val="22"/>
              </w:rPr>
            </w:pPr>
            <w:r w:rsidRPr="005E1292">
              <w:rPr>
                <w:sz w:val="22"/>
              </w:rPr>
              <w:t>Ocena współpracy z urzędem administracji w zakresie włączania organizacji w planowanie i podejmowanie istotnych decyzji i uchwał</w:t>
            </w:r>
            <w:r w:rsidR="003E0771" w:rsidRPr="005E1292">
              <w:rPr>
                <w:sz w:val="22"/>
              </w:rPr>
              <w:t xml:space="preserve"> (w skali od 1 do 4)</w:t>
            </w:r>
          </w:p>
        </w:tc>
        <w:tc>
          <w:tcPr>
            <w:tcW w:w="1139" w:type="dxa"/>
            <w:tcBorders>
              <w:top w:val="single" w:sz="4" w:space="0" w:color="7F7F7F" w:themeColor="text1" w:themeTint="80"/>
              <w:bottom w:val="single" w:sz="4" w:space="0" w:color="7F7F7F" w:themeColor="text1" w:themeTint="80"/>
            </w:tcBorders>
            <w:vAlign w:val="center"/>
          </w:tcPr>
          <w:p w14:paraId="672D6DE5" w14:textId="3F010109" w:rsidR="003562CF" w:rsidRPr="005E1292" w:rsidRDefault="00E936A8" w:rsidP="003562CF">
            <w:pPr>
              <w:spacing w:after="0" w:line="240" w:lineRule="auto"/>
              <w:jc w:val="center"/>
              <w:rPr>
                <w:rFonts w:eastAsia="Times New Roman"/>
                <w:sz w:val="22"/>
              </w:rPr>
            </w:pPr>
            <w:r w:rsidRPr="005E1292">
              <w:rPr>
                <w:rFonts w:eastAsia="Times New Roman"/>
                <w:sz w:val="22"/>
              </w:rPr>
              <w:t>2,85</w:t>
            </w:r>
          </w:p>
        </w:tc>
        <w:tc>
          <w:tcPr>
            <w:tcW w:w="1207" w:type="dxa"/>
            <w:tcBorders>
              <w:top w:val="single" w:sz="4" w:space="0" w:color="7F7F7F" w:themeColor="text1" w:themeTint="80"/>
              <w:bottom w:val="single" w:sz="4" w:space="0" w:color="7F7F7F" w:themeColor="text1" w:themeTint="80"/>
            </w:tcBorders>
            <w:vAlign w:val="center"/>
          </w:tcPr>
          <w:p w14:paraId="54DDC7A0" w14:textId="4CF2A671" w:rsidR="003562CF" w:rsidRPr="005E1292" w:rsidRDefault="003E0771" w:rsidP="003562CF">
            <w:pPr>
              <w:spacing w:after="0" w:line="240" w:lineRule="auto"/>
              <w:jc w:val="center"/>
              <w:rPr>
                <w:rFonts w:eastAsia="Times New Roman"/>
                <w:sz w:val="22"/>
              </w:rPr>
            </w:pPr>
            <w:r w:rsidRPr="005E1292">
              <w:rPr>
                <w:rFonts w:eastAsia="Times New Roman"/>
                <w:sz w:val="22"/>
              </w:rPr>
              <w:t>3,2</w:t>
            </w:r>
          </w:p>
        </w:tc>
      </w:tr>
    </w:tbl>
    <w:p w14:paraId="48D939E8" w14:textId="77777777" w:rsidR="00AE692C" w:rsidRDefault="00AE692C" w:rsidP="00AE692C"/>
    <w:p w14:paraId="508F597D" w14:textId="297E38D1" w:rsidR="00AE692C" w:rsidRDefault="00AE692C" w:rsidP="00AE692C">
      <w:r>
        <w:t>Wskaźniki zostały zdefiniowane na podstawie danych udostępnianych przez Główny Urząd Statystyczny w ramach badań: „</w:t>
      </w:r>
      <w:r w:rsidRPr="00146D5F">
        <w:t>Stowarzyszenia, fundacje, samorząd gospodarczy i zawodowy oraz społeczne jednostki wyznaniowe</w:t>
      </w:r>
      <w:r>
        <w:t xml:space="preserve">” oraz „Sprawozdanie o współpracy, zarządzaniu </w:t>
      </w:r>
      <w:r w:rsidR="00D53B44">
        <w:br/>
      </w:r>
      <w:r>
        <w:t>i działalności informacyjnej wybranych organizacji non-profit”. Badania te są realizowane napr</w:t>
      </w:r>
      <w:r w:rsidR="00D53B44">
        <w:t>zemiennie w cyklach dwuletnich i z</w:t>
      </w:r>
      <w:r>
        <w:t xml:space="preserve">godnie z </w:t>
      </w:r>
      <w:r w:rsidR="00D53B44">
        <w:t xml:space="preserve">planem </w:t>
      </w:r>
      <w:r>
        <w:t xml:space="preserve">GUS badania będą realizowane </w:t>
      </w:r>
      <w:r w:rsidR="00B53A46">
        <w:br/>
      </w:r>
      <w:r>
        <w:lastRenderedPageBreak/>
        <w:t>w kolejnych latach, stąd można oczekiwać kolejnych pomiarów w ramach wytypowanych wskaźników w okresie referencyjnym. Metoda oszacowania docelowych wa</w:t>
      </w:r>
      <w:r w:rsidR="00B47AE9">
        <w:t>rtości wskaźników opierała się</w:t>
      </w:r>
      <w:r>
        <w:t xml:space="preserve"> na analizie i ekstrapolacji trendów na podstawie szeregów historycznych, </w:t>
      </w:r>
      <w:r>
        <w:br/>
        <w:t>a następnie przyjęciu wartości docelowych uwzględniających potencjał zmiany, która zostanie osiągnięta w wyniku interwencji w ramach Programu.</w:t>
      </w:r>
      <w:r w:rsidR="00256394">
        <w:t xml:space="preserve"> </w:t>
      </w:r>
      <w:r w:rsidR="008E74DB">
        <w:t xml:space="preserve">Jako wartości </w:t>
      </w:r>
      <w:r w:rsidR="00256394">
        <w:t>bazowe przyjęto da</w:t>
      </w:r>
      <w:r w:rsidR="008F7BD2">
        <w:t xml:space="preserve">ne za rok 2016 dla wskaźników od 1 do </w:t>
      </w:r>
      <w:r w:rsidR="00256394">
        <w:t xml:space="preserve">4 oraz </w:t>
      </w:r>
      <w:r w:rsidR="008F7BD2">
        <w:t xml:space="preserve">rok </w:t>
      </w:r>
      <w:r w:rsidR="005E1931">
        <w:t>2015</w:t>
      </w:r>
      <w:r w:rsidR="00256394">
        <w:t xml:space="preserve"> dla wskaźników </w:t>
      </w:r>
      <w:r w:rsidR="008F7BD2">
        <w:t xml:space="preserve">od 5 do 8. Wynika to </w:t>
      </w:r>
      <w:r w:rsidR="008F7BD2">
        <w:br/>
        <w:t>z dostępności danych publikowanych przez GUS.</w:t>
      </w:r>
    </w:p>
    <w:p w14:paraId="233CDBEC" w14:textId="447263EF" w:rsidR="00AE692C" w:rsidRDefault="00AE692C" w:rsidP="00AE692C">
      <w:r>
        <w:t>W celu skutecznego mo</w:t>
      </w:r>
      <w:r w:rsidR="00B47AE9">
        <w:t>nitorowania postępów wdrażania P</w:t>
      </w:r>
      <w:r>
        <w:t xml:space="preserve">rogramu dokonano również oszacowania wskaźników </w:t>
      </w:r>
      <w:r w:rsidR="00352E7C">
        <w:t xml:space="preserve">na poziomie „produktowym”. Poniższa tabela </w:t>
      </w:r>
      <w:r w:rsidR="00256394">
        <w:t>prezentuje zakładaną</w:t>
      </w:r>
      <w:r w:rsidR="00352E7C">
        <w:t xml:space="preserve"> </w:t>
      </w:r>
      <w:r w:rsidR="00256394">
        <w:t xml:space="preserve">skalę </w:t>
      </w:r>
      <w:r w:rsidR="00352E7C">
        <w:t>wsparcia, któr</w:t>
      </w:r>
      <w:r w:rsidR="00256394">
        <w:t>e zostanie zrealizowane w ramach wdrażania Programu do 2030 r.</w:t>
      </w:r>
    </w:p>
    <w:p w14:paraId="630C9754" w14:textId="6C6D25B7" w:rsidR="00B47AE9" w:rsidRDefault="00B47AE9" w:rsidP="00B47AE9">
      <w:pPr>
        <w:pStyle w:val="Legenda"/>
        <w:keepNext/>
      </w:pPr>
      <w:r>
        <w:t xml:space="preserve">Tabela </w:t>
      </w:r>
      <w:r w:rsidR="00876468">
        <w:fldChar w:fldCharType="begin"/>
      </w:r>
      <w:r w:rsidR="00876468">
        <w:instrText xml:space="preserve"> SEQ Tabela \* ARABIC </w:instrText>
      </w:r>
      <w:r w:rsidR="00876468">
        <w:fldChar w:fldCharType="separate"/>
      </w:r>
      <w:r w:rsidR="00E74C5A">
        <w:rPr>
          <w:noProof/>
        </w:rPr>
        <w:t>3</w:t>
      </w:r>
      <w:r w:rsidR="00876468">
        <w:rPr>
          <w:noProof/>
        </w:rPr>
        <w:fldChar w:fldCharType="end"/>
      </w:r>
      <w:r w:rsidR="00314520">
        <w:rPr>
          <w:noProof/>
        </w:rPr>
        <w:t>.</w:t>
      </w:r>
      <w:r>
        <w:t xml:space="preserve"> Wskaźniki realizacji priorytetów Programu</w:t>
      </w:r>
    </w:p>
    <w:tbl>
      <w:tblPr>
        <w:tblStyle w:val="Zwykatabela31"/>
        <w:tblW w:w="9072" w:type="dxa"/>
        <w:tblLook w:val="0620" w:firstRow="1" w:lastRow="0" w:firstColumn="0" w:lastColumn="0" w:noHBand="1" w:noVBand="1"/>
      </w:tblPr>
      <w:tblGrid>
        <w:gridCol w:w="534"/>
        <w:gridCol w:w="7240"/>
        <w:gridCol w:w="1298"/>
      </w:tblGrid>
      <w:tr w:rsidR="00AE692C" w:rsidRPr="00005676" w14:paraId="3E5A2367" w14:textId="77777777" w:rsidTr="003562CF">
        <w:trPr>
          <w:cnfStyle w:val="100000000000" w:firstRow="1" w:lastRow="0" w:firstColumn="0" w:lastColumn="0" w:oddVBand="0" w:evenVBand="0" w:oddHBand="0" w:evenHBand="0" w:firstRowFirstColumn="0" w:firstRowLastColumn="0" w:lastRowFirstColumn="0" w:lastRowLastColumn="0"/>
          <w:trHeight w:val="794"/>
        </w:trPr>
        <w:tc>
          <w:tcPr>
            <w:tcW w:w="534" w:type="dxa"/>
            <w:vAlign w:val="center"/>
          </w:tcPr>
          <w:p w14:paraId="70CDB470" w14:textId="77777777" w:rsidR="00AE692C" w:rsidRPr="005E1292" w:rsidRDefault="00AE692C" w:rsidP="003562CF">
            <w:pPr>
              <w:spacing w:after="0" w:line="240" w:lineRule="auto"/>
              <w:jc w:val="center"/>
              <w:rPr>
                <w:rFonts w:eastAsia="Times New Roman"/>
                <w:b w:val="0"/>
                <w:i/>
                <w:caps w:val="0"/>
                <w:sz w:val="22"/>
              </w:rPr>
            </w:pPr>
            <w:r w:rsidRPr="005E1292">
              <w:rPr>
                <w:rFonts w:eastAsia="Times New Roman"/>
                <w:b w:val="0"/>
                <w:i/>
                <w:caps w:val="0"/>
                <w:sz w:val="22"/>
              </w:rPr>
              <w:t>Lp.</w:t>
            </w:r>
          </w:p>
        </w:tc>
        <w:tc>
          <w:tcPr>
            <w:tcW w:w="7240" w:type="dxa"/>
            <w:vAlign w:val="center"/>
          </w:tcPr>
          <w:p w14:paraId="1E902660" w14:textId="77777777" w:rsidR="00AE692C" w:rsidRPr="005E1292" w:rsidRDefault="00AE692C" w:rsidP="003562CF">
            <w:pPr>
              <w:spacing w:after="0" w:line="240" w:lineRule="auto"/>
              <w:jc w:val="center"/>
              <w:rPr>
                <w:rFonts w:eastAsia="Times New Roman"/>
                <w:b w:val="0"/>
                <w:i/>
                <w:caps w:val="0"/>
                <w:sz w:val="22"/>
              </w:rPr>
            </w:pPr>
            <w:r w:rsidRPr="005E1292">
              <w:rPr>
                <w:rFonts w:eastAsia="Times New Roman"/>
                <w:b w:val="0"/>
                <w:i/>
                <w:caps w:val="0"/>
                <w:sz w:val="22"/>
              </w:rPr>
              <w:t>Wskaźnik</w:t>
            </w:r>
          </w:p>
        </w:tc>
        <w:tc>
          <w:tcPr>
            <w:tcW w:w="1298" w:type="dxa"/>
            <w:vAlign w:val="center"/>
          </w:tcPr>
          <w:p w14:paraId="1B1CE3C1" w14:textId="77777777" w:rsidR="00AE692C" w:rsidRPr="005E1292" w:rsidRDefault="00AE692C" w:rsidP="003562CF">
            <w:pPr>
              <w:spacing w:after="0" w:line="240" w:lineRule="auto"/>
              <w:jc w:val="center"/>
              <w:rPr>
                <w:rFonts w:eastAsia="Times New Roman"/>
                <w:b w:val="0"/>
                <w:i/>
                <w:caps w:val="0"/>
                <w:sz w:val="22"/>
              </w:rPr>
            </w:pPr>
            <w:r w:rsidRPr="005E1292">
              <w:rPr>
                <w:rFonts w:eastAsia="Times New Roman"/>
                <w:b w:val="0"/>
                <w:i/>
                <w:caps w:val="0"/>
                <w:sz w:val="22"/>
              </w:rPr>
              <w:t xml:space="preserve">Wartość docelowa </w:t>
            </w:r>
          </w:p>
        </w:tc>
      </w:tr>
      <w:tr w:rsidR="00A20625" w:rsidRPr="00005676" w14:paraId="7AC75D12" w14:textId="77777777" w:rsidTr="00A20625">
        <w:trPr>
          <w:trHeight w:val="794"/>
        </w:trPr>
        <w:tc>
          <w:tcPr>
            <w:tcW w:w="534" w:type="dxa"/>
            <w:tcBorders>
              <w:top w:val="single" w:sz="4" w:space="0" w:color="7F7F7F" w:themeColor="text1" w:themeTint="80"/>
              <w:bottom w:val="single" w:sz="4" w:space="0" w:color="7F7F7F" w:themeColor="text1" w:themeTint="80"/>
            </w:tcBorders>
            <w:vAlign w:val="center"/>
          </w:tcPr>
          <w:p w14:paraId="230CFA6A" w14:textId="77777777" w:rsidR="00A20625" w:rsidRPr="005E1292" w:rsidRDefault="00A20625" w:rsidP="00A20625">
            <w:pPr>
              <w:spacing w:after="0" w:line="240" w:lineRule="auto"/>
              <w:jc w:val="left"/>
              <w:rPr>
                <w:rFonts w:eastAsia="Times New Roman"/>
                <w:sz w:val="22"/>
              </w:rPr>
            </w:pPr>
            <w:r w:rsidRPr="005E1292">
              <w:rPr>
                <w:rFonts w:eastAsia="Times New Roman"/>
                <w:caps/>
                <w:sz w:val="22"/>
              </w:rPr>
              <w:t>1</w:t>
            </w:r>
          </w:p>
        </w:tc>
        <w:tc>
          <w:tcPr>
            <w:tcW w:w="7240" w:type="dxa"/>
            <w:tcBorders>
              <w:top w:val="single" w:sz="4" w:space="0" w:color="7F7F7F" w:themeColor="text1" w:themeTint="80"/>
              <w:bottom w:val="single" w:sz="4" w:space="0" w:color="7F7F7F" w:themeColor="text1" w:themeTint="80"/>
            </w:tcBorders>
            <w:vAlign w:val="center"/>
          </w:tcPr>
          <w:p w14:paraId="43EF7FBC" w14:textId="77777777" w:rsidR="00A20625" w:rsidRPr="005E1292" w:rsidRDefault="00A20625" w:rsidP="00A20625">
            <w:pPr>
              <w:spacing w:after="0" w:line="240" w:lineRule="auto"/>
              <w:jc w:val="left"/>
              <w:rPr>
                <w:sz w:val="22"/>
              </w:rPr>
            </w:pPr>
            <w:r w:rsidRPr="005E1292">
              <w:rPr>
                <w:rFonts w:eastAsia="Times New Roman" w:cs="Calibri Light"/>
                <w:sz w:val="22"/>
              </w:rPr>
              <w:t>Liczba organizacji otrzymujących wsparcie w zakresie działań misyjnych i rozwoju instytucjonalnego</w:t>
            </w:r>
          </w:p>
        </w:tc>
        <w:tc>
          <w:tcPr>
            <w:tcW w:w="1298" w:type="dxa"/>
            <w:tcBorders>
              <w:top w:val="single" w:sz="4" w:space="0" w:color="7F7F7F" w:themeColor="text1" w:themeTint="80"/>
              <w:bottom w:val="single" w:sz="4" w:space="0" w:color="7F7F7F" w:themeColor="text1" w:themeTint="80"/>
            </w:tcBorders>
            <w:vAlign w:val="center"/>
          </w:tcPr>
          <w:p w14:paraId="56043739" w14:textId="7A3256D4" w:rsidR="00A20625" w:rsidRPr="00A20625" w:rsidRDefault="00A20625" w:rsidP="00A20625">
            <w:pPr>
              <w:spacing w:after="0" w:line="240" w:lineRule="auto"/>
              <w:jc w:val="center"/>
              <w:rPr>
                <w:rFonts w:cs="Calibri Light"/>
                <w:bCs/>
                <w:color w:val="000000"/>
                <w:sz w:val="22"/>
                <w:szCs w:val="24"/>
              </w:rPr>
            </w:pPr>
            <w:r w:rsidRPr="00A20625">
              <w:rPr>
                <w:sz w:val="22"/>
              </w:rPr>
              <w:t>850</w:t>
            </w:r>
          </w:p>
        </w:tc>
      </w:tr>
      <w:tr w:rsidR="00A20625" w:rsidRPr="00005676" w14:paraId="7F954AB4" w14:textId="77777777" w:rsidTr="00A20625">
        <w:trPr>
          <w:trHeight w:val="794"/>
        </w:trPr>
        <w:tc>
          <w:tcPr>
            <w:tcW w:w="534" w:type="dxa"/>
            <w:tcBorders>
              <w:top w:val="single" w:sz="4" w:space="0" w:color="7F7F7F" w:themeColor="text1" w:themeTint="80"/>
              <w:bottom w:val="single" w:sz="4" w:space="0" w:color="7F7F7F" w:themeColor="text1" w:themeTint="80"/>
            </w:tcBorders>
            <w:vAlign w:val="center"/>
          </w:tcPr>
          <w:p w14:paraId="4D4A73CC" w14:textId="77777777" w:rsidR="00A20625" w:rsidRPr="005E1292" w:rsidRDefault="00A20625" w:rsidP="00A20625">
            <w:pPr>
              <w:spacing w:after="0" w:line="240" w:lineRule="auto"/>
              <w:jc w:val="left"/>
              <w:rPr>
                <w:rFonts w:eastAsia="Times New Roman"/>
                <w:sz w:val="22"/>
              </w:rPr>
            </w:pPr>
            <w:r w:rsidRPr="005E1292">
              <w:rPr>
                <w:rFonts w:eastAsia="Times New Roman"/>
                <w:caps/>
                <w:sz w:val="22"/>
              </w:rPr>
              <w:t>2</w:t>
            </w:r>
          </w:p>
        </w:tc>
        <w:tc>
          <w:tcPr>
            <w:tcW w:w="7240" w:type="dxa"/>
            <w:tcBorders>
              <w:top w:val="single" w:sz="4" w:space="0" w:color="7F7F7F" w:themeColor="text1" w:themeTint="80"/>
              <w:bottom w:val="single" w:sz="4" w:space="0" w:color="7F7F7F" w:themeColor="text1" w:themeTint="80"/>
            </w:tcBorders>
            <w:vAlign w:val="center"/>
          </w:tcPr>
          <w:p w14:paraId="3C49477B" w14:textId="2904EF82" w:rsidR="00A20625" w:rsidRPr="005E1292" w:rsidRDefault="00A20625" w:rsidP="00A20625">
            <w:pPr>
              <w:spacing w:after="0" w:line="240" w:lineRule="auto"/>
              <w:jc w:val="left"/>
              <w:rPr>
                <w:sz w:val="22"/>
              </w:rPr>
            </w:pPr>
            <w:r w:rsidRPr="005E1292">
              <w:rPr>
                <w:rFonts w:eastAsia="Times New Roman" w:cs="Calibri Light"/>
                <w:sz w:val="22"/>
              </w:rPr>
              <w:t>Liczba organizacji otrzymujących wsparcie na pokrycie wkładu własnego w ramach projektów współfinansowanych z innych źródeł</w:t>
            </w:r>
          </w:p>
        </w:tc>
        <w:tc>
          <w:tcPr>
            <w:tcW w:w="1298" w:type="dxa"/>
            <w:tcBorders>
              <w:top w:val="single" w:sz="4" w:space="0" w:color="7F7F7F" w:themeColor="text1" w:themeTint="80"/>
              <w:bottom w:val="single" w:sz="4" w:space="0" w:color="7F7F7F" w:themeColor="text1" w:themeTint="80"/>
            </w:tcBorders>
            <w:vAlign w:val="center"/>
          </w:tcPr>
          <w:p w14:paraId="62480283" w14:textId="612D949C" w:rsidR="00A20625" w:rsidRPr="00A20625" w:rsidRDefault="00A20625" w:rsidP="00A20625">
            <w:pPr>
              <w:spacing w:after="0" w:line="240" w:lineRule="auto"/>
              <w:jc w:val="center"/>
              <w:rPr>
                <w:rFonts w:eastAsia="Times New Roman" w:cs="Calibri Light"/>
                <w:sz w:val="22"/>
                <w:szCs w:val="24"/>
              </w:rPr>
            </w:pPr>
            <w:r w:rsidRPr="00A20625">
              <w:rPr>
                <w:sz w:val="22"/>
              </w:rPr>
              <w:t>120</w:t>
            </w:r>
          </w:p>
        </w:tc>
      </w:tr>
      <w:tr w:rsidR="00A20625" w:rsidRPr="00005676" w14:paraId="3D5FF014" w14:textId="77777777" w:rsidTr="00A20625">
        <w:trPr>
          <w:trHeight w:val="794"/>
        </w:trPr>
        <w:tc>
          <w:tcPr>
            <w:tcW w:w="534" w:type="dxa"/>
            <w:tcBorders>
              <w:top w:val="single" w:sz="4" w:space="0" w:color="7F7F7F" w:themeColor="text1" w:themeTint="80"/>
              <w:bottom w:val="single" w:sz="4" w:space="0" w:color="7F7F7F" w:themeColor="text1" w:themeTint="80"/>
            </w:tcBorders>
            <w:vAlign w:val="center"/>
          </w:tcPr>
          <w:p w14:paraId="1D5FE9E8" w14:textId="77777777" w:rsidR="00A20625" w:rsidRPr="005E1292" w:rsidRDefault="00A20625" w:rsidP="00A20625">
            <w:pPr>
              <w:spacing w:after="0" w:line="240" w:lineRule="auto"/>
              <w:jc w:val="left"/>
              <w:rPr>
                <w:rFonts w:eastAsia="Times New Roman"/>
                <w:sz w:val="22"/>
              </w:rPr>
            </w:pPr>
            <w:r w:rsidRPr="005E1292">
              <w:rPr>
                <w:rFonts w:eastAsia="Times New Roman"/>
                <w:caps/>
                <w:sz w:val="22"/>
              </w:rPr>
              <w:t>3</w:t>
            </w:r>
          </w:p>
        </w:tc>
        <w:tc>
          <w:tcPr>
            <w:tcW w:w="7240" w:type="dxa"/>
            <w:tcBorders>
              <w:top w:val="single" w:sz="4" w:space="0" w:color="7F7F7F" w:themeColor="text1" w:themeTint="80"/>
              <w:bottom w:val="single" w:sz="4" w:space="0" w:color="7F7F7F" w:themeColor="text1" w:themeTint="80"/>
            </w:tcBorders>
            <w:vAlign w:val="center"/>
          </w:tcPr>
          <w:p w14:paraId="039D2F58" w14:textId="5A9210D3" w:rsidR="00A20625" w:rsidRPr="005E1292" w:rsidRDefault="00A20625" w:rsidP="00A20625">
            <w:pPr>
              <w:spacing w:after="0" w:line="240" w:lineRule="auto"/>
              <w:jc w:val="left"/>
              <w:rPr>
                <w:sz w:val="22"/>
              </w:rPr>
            </w:pPr>
            <w:r w:rsidRPr="005E1292">
              <w:rPr>
                <w:rFonts w:cs="Calibri Light"/>
                <w:sz w:val="22"/>
              </w:rPr>
              <w:t>Liczba organizacji otrzymujących wsparcie operacyjne w zakresie budowania początkowego kapitału żelaznego</w:t>
            </w:r>
          </w:p>
        </w:tc>
        <w:tc>
          <w:tcPr>
            <w:tcW w:w="1298" w:type="dxa"/>
            <w:tcBorders>
              <w:top w:val="single" w:sz="4" w:space="0" w:color="7F7F7F" w:themeColor="text1" w:themeTint="80"/>
              <w:bottom w:val="single" w:sz="4" w:space="0" w:color="7F7F7F" w:themeColor="text1" w:themeTint="80"/>
            </w:tcBorders>
            <w:vAlign w:val="center"/>
          </w:tcPr>
          <w:p w14:paraId="402DF013" w14:textId="379F3181" w:rsidR="00A20625" w:rsidRPr="00A20625" w:rsidRDefault="00A20625" w:rsidP="00A20625">
            <w:pPr>
              <w:spacing w:after="0" w:line="240" w:lineRule="auto"/>
              <w:jc w:val="center"/>
              <w:rPr>
                <w:rFonts w:eastAsia="Times New Roman" w:cs="Calibri Light"/>
                <w:sz w:val="22"/>
                <w:szCs w:val="24"/>
              </w:rPr>
            </w:pPr>
            <w:r w:rsidRPr="00A20625">
              <w:rPr>
                <w:sz w:val="22"/>
              </w:rPr>
              <w:t>170</w:t>
            </w:r>
          </w:p>
        </w:tc>
      </w:tr>
      <w:tr w:rsidR="00A20625" w:rsidRPr="00005676" w14:paraId="726C9D7E" w14:textId="77777777" w:rsidTr="00A20625">
        <w:trPr>
          <w:trHeight w:val="794"/>
        </w:trPr>
        <w:tc>
          <w:tcPr>
            <w:tcW w:w="534" w:type="dxa"/>
            <w:tcBorders>
              <w:top w:val="single" w:sz="4" w:space="0" w:color="7F7F7F" w:themeColor="text1" w:themeTint="80"/>
              <w:bottom w:val="single" w:sz="4" w:space="0" w:color="7F7F7F" w:themeColor="text1" w:themeTint="80"/>
            </w:tcBorders>
            <w:vAlign w:val="center"/>
          </w:tcPr>
          <w:p w14:paraId="248A0DAD" w14:textId="77777777" w:rsidR="00A20625" w:rsidRPr="005E1292" w:rsidRDefault="00A20625" w:rsidP="00A20625">
            <w:pPr>
              <w:spacing w:after="0" w:line="240" w:lineRule="auto"/>
              <w:jc w:val="left"/>
              <w:rPr>
                <w:rFonts w:eastAsia="Times New Roman"/>
                <w:sz w:val="22"/>
              </w:rPr>
            </w:pPr>
            <w:r w:rsidRPr="005E1292">
              <w:rPr>
                <w:rFonts w:eastAsia="Times New Roman"/>
                <w:caps/>
                <w:sz w:val="22"/>
              </w:rPr>
              <w:t>4</w:t>
            </w:r>
          </w:p>
        </w:tc>
        <w:tc>
          <w:tcPr>
            <w:tcW w:w="7240" w:type="dxa"/>
            <w:tcBorders>
              <w:top w:val="single" w:sz="4" w:space="0" w:color="7F7F7F" w:themeColor="text1" w:themeTint="80"/>
              <w:bottom w:val="single" w:sz="4" w:space="0" w:color="7F7F7F" w:themeColor="text1" w:themeTint="80"/>
            </w:tcBorders>
            <w:vAlign w:val="center"/>
          </w:tcPr>
          <w:p w14:paraId="5F3B7A97" w14:textId="6E4FC0DA" w:rsidR="00A20625" w:rsidRPr="005E1292" w:rsidRDefault="00A20625" w:rsidP="00A20625">
            <w:pPr>
              <w:spacing w:after="0" w:line="240" w:lineRule="auto"/>
              <w:jc w:val="left"/>
              <w:rPr>
                <w:sz w:val="22"/>
              </w:rPr>
            </w:pPr>
            <w:r w:rsidRPr="005E1292">
              <w:rPr>
                <w:rFonts w:cs="Calibri Light"/>
                <w:sz w:val="22"/>
              </w:rPr>
              <w:t>Liczba organizacji otrzymujących wsparcie na utworzenie początkowego kapitału żelaznego</w:t>
            </w:r>
          </w:p>
        </w:tc>
        <w:tc>
          <w:tcPr>
            <w:tcW w:w="1298" w:type="dxa"/>
            <w:tcBorders>
              <w:top w:val="single" w:sz="4" w:space="0" w:color="7F7F7F" w:themeColor="text1" w:themeTint="80"/>
              <w:bottom w:val="single" w:sz="4" w:space="0" w:color="7F7F7F" w:themeColor="text1" w:themeTint="80"/>
            </w:tcBorders>
            <w:vAlign w:val="center"/>
          </w:tcPr>
          <w:p w14:paraId="07DADD68" w14:textId="7C365852" w:rsidR="00A20625" w:rsidRPr="00A20625" w:rsidRDefault="00A20625" w:rsidP="00A20625">
            <w:pPr>
              <w:spacing w:after="0" w:line="240" w:lineRule="auto"/>
              <w:jc w:val="center"/>
              <w:rPr>
                <w:rFonts w:eastAsia="Times New Roman" w:cs="Calibri Light"/>
                <w:sz w:val="22"/>
                <w:szCs w:val="24"/>
              </w:rPr>
            </w:pPr>
            <w:r w:rsidRPr="00A20625">
              <w:rPr>
                <w:sz w:val="22"/>
              </w:rPr>
              <w:t>80</w:t>
            </w:r>
          </w:p>
        </w:tc>
      </w:tr>
      <w:tr w:rsidR="00A20625" w:rsidRPr="00005676" w14:paraId="354E75EE" w14:textId="77777777" w:rsidTr="00A20625">
        <w:trPr>
          <w:trHeight w:val="794"/>
        </w:trPr>
        <w:tc>
          <w:tcPr>
            <w:tcW w:w="534" w:type="dxa"/>
            <w:tcBorders>
              <w:top w:val="single" w:sz="4" w:space="0" w:color="7F7F7F" w:themeColor="text1" w:themeTint="80"/>
              <w:bottom w:val="single" w:sz="4" w:space="0" w:color="7F7F7F" w:themeColor="text1" w:themeTint="80"/>
            </w:tcBorders>
            <w:vAlign w:val="center"/>
          </w:tcPr>
          <w:p w14:paraId="4BE2EC40" w14:textId="77777777" w:rsidR="00A20625" w:rsidRPr="005E1292" w:rsidRDefault="00A20625" w:rsidP="00A20625">
            <w:pPr>
              <w:spacing w:after="0" w:line="240" w:lineRule="auto"/>
              <w:jc w:val="left"/>
              <w:rPr>
                <w:rFonts w:eastAsia="Times New Roman"/>
                <w:sz w:val="22"/>
              </w:rPr>
            </w:pPr>
            <w:r w:rsidRPr="005E1292">
              <w:rPr>
                <w:rFonts w:eastAsia="Times New Roman"/>
                <w:caps/>
                <w:sz w:val="22"/>
              </w:rPr>
              <w:t>5</w:t>
            </w:r>
          </w:p>
        </w:tc>
        <w:tc>
          <w:tcPr>
            <w:tcW w:w="7240" w:type="dxa"/>
            <w:tcBorders>
              <w:top w:val="single" w:sz="4" w:space="0" w:color="7F7F7F" w:themeColor="text1" w:themeTint="80"/>
              <w:bottom w:val="single" w:sz="4" w:space="0" w:color="7F7F7F" w:themeColor="text1" w:themeTint="80"/>
            </w:tcBorders>
            <w:vAlign w:val="center"/>
          </w:tcPr>
          <w:p w14:paraId="5B8E284B" w14:textId="29C157BB" w:rsidR="00A20625" w:rsidRPr="005E1292" w:rsidRDefault="00A20625" w:rsidP="00A20625">
            <w:pPr>
              <w:spacing w:after="0" w:line="240" w:lineRule="auto"/>
              <w:jc w:val="left"/>
              <w:rPr>
                <w:sz w:val="22"/>
              </w:rPr>
            </w:pPr>
            <w:r w:rsidRPr="005E1292">
              <w:rPr>
                <w:rFonts w:cs="Calibri Light"/>
                <w:sz w:val="22"/>
              </w:rPr>
              <w:t>Liczba organizacji otrzymujących wsparcie w formie powiększenia kapitału żelaznego</w:t>
            </w:r>
          </w:p>
        </w:tc>
        <w:tc>
          <w:tcPr>
            <w:tcW w:w="1298" w:type="dxa"/>
            <w:tcBorders>
              <w:top w:val="single" w:sz="4" w:space="0" w:color="7F7F7F" w:themeColor="text1" w:themeTint="80"/>
              <w:bottom w:val="single" w:sz="4" w:space="0" w:color="7F7F7F" w:themeColor="text1" w:themeTint="80"/>
            </w:tcBorders>
            <w:vAlign w:val="center"/>
          </w:tcPr>
          <w:p w14:paraId="77ACA54D" w14:textId="029376BF" w:rsidR="00A20625" w:rsidRPr="00A20625" w:rsidRDefault="00A20625" w:rsidP="00A20625">
            <w:pPr>
              <w:spacing w:after="0" w:line="240" w:lineRule="auto"/>
              <w:jc w:val="center"/>
              <w:rPr>
                <w:rFonts w:eastAsia="Times New Roman" w:cs="Calibri Light"/>
                <w:sz w:val="22"/>
                <w:szCs w:val="24"/>
              </w:rPr>
            </w:pPr>
            <w:r w:rsidRPr="00A20625">
              <w:rPr>
                <w:sz w:val="22"/>
              </w:rPr>
              <w:t>60</w:t>
            </w:r>
          </w:p>
        </w:tc>
      </w:tr>
      <w:tr w:rsidR="00A20625" w:rsidRPr="00005676" w14:paraId="206765D0" w14:textId="77777777" w:rsidTr="00A20625">
        <w:trPr>
          <w:trHeight w:val="794"/>
        </w:trPr>
        <w:tc>
          <w:tcPr>
            <w:tcW w:w="534" w:type="dxa"/>
            <w:tcBorders>
              <w:top w:val="single" w:sz="4" w:space="0" w:color="7F7F7F" w:themeColor="text1" w:themeTint="80"/>
              <w:bottom w:val="single" w:sz="4" w:space="0" w:color="7F7F7F" w:themeColor="text1" w:themeTint="80"/>
            </w:tcBorders>
            <w:vAlign w:val="center"/>
          </w:tcPr>
          <w:p w14:paraId="1E0F0826" w14:textId="77777777" w:rsidR="00A20625" w:rsidRPr="005E1292" w:rsidRDefault="00A20625" w:rsidP="00A20625">
            <w:pPr>
              <w:spacing w:after="0" w:line="240" w:lineRule="auto"/>
              <w:jc w:val="left"/>
              <w:rPr>
                <w:rFonts w:eastAsia="Times New Roman"/>
                <w:sz w:val="22"/>
              </w:rPr>
            </w:pPr>
            <w:r w:rsidRPr="005E1292">
              <w:rPr>
                <w:rFonts w:eastAsia="Times New Roman"/>
                <w:caps/>
                <w:sz w:val="22"/>
              </w:rPr>
              <w:t>6</w:t>
            </w:r>
          </w:p>
        </w:tc>
        <w:tc>
          <w:tcPr>
            <w:tcW w:w="7240" w:type="dxa"/>
            <w:tcBorders>
              <w:top w:val="single" w:sz="4" w:space="0" w:color="7F7F7F" w:themeColor="text1" w:themeTint="80"/>
              <w:bottom w:val="single" w:sz="4" w:space="0" w:color="7F7F7F" w:themeColor="text1" w:themeTint="80"/>
            </w:tcBorders>
            <w:vAlign w:val="center"/>
          </w:tcPr>
          <w:p w14:paraId="41B867BB" w14:textId="77777777" w:rsidR="00A20625" w:rsidRPr="005E1292" w:rsidRDefault="00A20625" w:rsidP="00A20625">
            <w:pPr>
              <w:spacing w:after="0" w:line="240" w:lineRule="auto"/>
              <w:jc w:val="left"/>
              <w:rPr>
                <w:sz w:val="22"/>
              </w:rPr>
            </w:pPr>
            <w:r w:rsidRPr="005E1292">
              <w:rPr>
                <w:rFonts w:eastAsia="Times New Roman" w:cs="Calibri Light"/>
                <w:sz w:val="22"/>
              </w:rPr>
              <w:t xml:space="preserve">Liczba lokalnych </w:t>
            </w:r>
            <w:r w:rsidRPr="005E1292">
              <w:rPr>
                <w:rFonts w:cs="Calibri Light"/>
                <w:sz w:val="22"/>
              </w:rPr>
              <w:t>organizacji strażniczych i mediów obywatelskich</w:t>
            </w:r>
            <w:r w:rsidRPr="005E1292">
              <w:rPr>
                <w:rFonts w:eastAsia="Times New Roman" w:cs="Calibri Light"/>
                <w:sz w:val="22"/>
              </w:rPr>
              <w:t xml:space="preserve"> otrzymujących wsparcie</w:t>
            </w:r>
          </w:p>
        </w:tc>
        <w:tc>
          <w:tcPr>
            <w:tcW w:w="1298" w:type="dxa"/>
            <w:tcBorders>
              <w:top w:val="single" w:sz="4" w:space="0" w:color="7F7F7F" w:themeColor="text1" w:themeTint="80"/>
              <w:bottom w:val="single" w:sz="4" w:space="0" w:color="7F7F7F" w:themeColor="text1" w:themeTint="80"/>
            </w:tcBorders>
            <w:vAlign w:val="center"/>
          </w:tcPr>
          <w:p w14:paraId="5A70472D" w14:textId="0AF46C6F" w:rsidR="00A20625" w:rsidRPr="00A20625" w:rsidRDefault="00A20625" w:rsidP="00A20625">
            <w:pPr>
              <w:spacing w:after="0" w:line="240" w:lineRule="auto"/>
              <w:jc w:val="center"/>
              <w:rPr>
                <w:rFonts w:eastAsia="Times New Roman" w:cs="Calibri Light"/>
                <w:sz w:val="22"/>
                <w:szCs w:val="24"/>
              </w:rPr>
            </w:pPr>
            <w:r w:rsidRPr="00A20625">
              <w:rPr>
                <w:sz w:val="22"/>
              </w:rPr>
              <w:t>550</w:t>
            </w:r>
          </w:p>
        </w:tc>
      </w:tr>
      <w:tr w:rsidR="00A20625" w:rsidRPr="00005676" w14:paraId="13A20ACE" w14:textId="77777777" w:rsidTr="00A20625">
        <w:trPr>
          <w:trHeight w:val="794"/>
        </w:trPr>
        <w:tc>
          <w:tcPr>
            <w:tcW w:w="534" w:type="dxa"/>
            <w:tcBorders>
              <w:top w:val="single" w:sz="4" w:space="0" w:color="7F7F7F" w:themeColor="text1" w:themeTint="80"/>
              <w:bottom w:val="single" w:sz="4" w:space="0" w:color="7F7F7F" w:themeColor="text1" w:themeTint="80"/>
            </w:tcBorders>
            <w:vAlign w:val="center"/>
          </w:tcPr>
          <w:p w14:paraId="39B99595" w14:textId="77777777" w:rsidR="00A20625" w:rsidRPr="005E1292" w:rsidRDefault="00A20625" w:rsidP="00A20625">
            <w:pPr>
              <w:spacing w:after="0" w:line="240" w:lineRule="auto"/>
              <w:jc w:val="left"/>
              <w:rPr>
                <w:rFonts w:eastAsia="Times New Roman"/>
                <w:sz w:val="22"/>
              </w:rPr>
            </w:pPr>
            <w:r w:rsidRPr="005E1292">
              <w:rPr>
                <w:rFonts w:eastAsia="Times New Roman"/>
                <w:caps/>
                <w:sz w:val="22"/>
              </w:rPr>
              <w:t>7</w:t>
            </w:r>
          </w:p>
        </w:tc>
        <w:tc>
          <w:tcPr>
            <w:tcW w:w="7240" w:type="dxa"/>
            <w:tcBorders>
              <w:top w:val="single" w:sz="4" w:space="0" w:color="7F7F7F" w:themeColor="text1" w:themeTint="80"/>
              <w:bottom w:val="single" w:sz="4" w:space="0" w:color="7F7F7F" w:themeColor="text1" w:themeTint="80"/>
            </w:tcBorders>
            <w:vAlign w:val="center"/>
          </w:tcPr>
          <w:p w14:paraId="1FAC57BD" w14:textId="77777777" w:rsidR="00A20625" w:rsidRPr="005E1292" w:rsidRDefault="00A20625" w:rsidP="00A20625">
            <w:pPr>
              <w:spacing w:after="0" w:line="240" w:lineRule="auto"/>
              <w:jc w:val="left"/>
              <w:rPr>
                <w:sz w:val="22"/>
              </w:rPr>
            </w:pPr>
            <w:r w:rsidRPr="005E1292">
              <w:rPr>
                <w:rFonts w:eastAsia="Times New Roman" w:cs="Calibri Light"/>
                <w:sz w:val="22"/>
              </w:rPr>
              <w:t xml:space="preserve">Liczba organizacji – </w:t>
            </w:r>
            <w:proofErr w:type="spellStart"/>
            <w:r w:rsidRPr="005E1292">
              <w:rPr>
                <w:rFonts w:cs="Calibri Light"/>
                <w:sz w:val="22"/>
              </w:rPr>
              <w:t>think</w:t>
            </w:r>
            <w:proofErr w:type="spellEnd"/>
            <w:r w:rsidRPr="005E1292">
              <w:rPr>
                <w:rFonts w:cs="Calibri Light"/>
                <w:sz w:val="22"/>
              </w:rPr>
              <w:t xml:space="preserve"> tanków obywatelskich</w:t>
            </w:r>
            <w:r w:rsidRPr="005E1292">
              <w:rPr>
                <w:rFonts w:eastAsia="Times New Roman" w:cs="Calibri Light"/>
                <w:sz w:val="22"/>
              </w:rPr>
              <w:t xml:space="preserve"> otrzymujących wsparcie</w:t>
            </w:r>
          </w:p>
        </w:tc>
        <w:tc>
          <w:tcPr>
            <w:tcW w:w="1298" w:type="dxa"/>
            <w:tcBorders>
              <w:top w:val="single" w:sz="4" w:space="0" w:color="7F7F7F" w:themeColor="text1" w:themeTint="80"/>
              <w:bottom w:val="single" w:sz="4" w:space="0" w:color="7F7F7F" w:themeColor="text1" w:themeTint="80"/>
            </w:tcBorders>
            <w:vAlign w:val="center"/>
          </w:tcPr>
          <w:p w14:paraId="31AEA2A3" w14:textId="73329ED4" w:rsidR="00A20625" w:rsidRPr="00A20625" w:rsidRDefault="00A20625" w:rsidP="00A20625">
            <w:pPr>
              <w:spacing w:after="0" w:line="240" w:lineRule="auto"/>
              <w:jc w:val="center"/>
              <w:rPr>
                <w:rFonts w:eastAsia="Times New Roman" w:cs="Calibri Light"/>
                <w:sz w:val="22"/>
                <w:szCs w:val="24"/>
              </w:rPr>
            </w:pPr>
            <w:r w:rsidRPr="00A20625">
              <w:rPr>
                <w:sz w:val="22"/>
              </w:rPr>
              <w:t>200</w:t>
            </w:r>
          </w:p>
        </w:tc>
      </w:tr>
      <w:tr w:rsidR="00A20625" w:rsidRPr="00005676" w14:paraId="2B24109D" w14:textId="77777777" w:rsidTr="00A20625">
        <w:trPr>
          <w:trHeight w:val="794"/>
        </w:trPr>
        <w:tc>
          <w:tcPr>
            <w:tcW w:w="534" w:type="dxa"/>
            <w:tcBorders>
              <w:top w:val="single" w:sz="4" w:space="0" w:color="7F7F7F" w:themeColor="text1" w:themeTint="80"/>
              <w:bottom w:val="single" w:sz="4" w:space="0" w:color="7F7F7F" w:themeColor="text1" w:themeTint="80"/>
            </w:tcBorders>
            <w:vAlign w:val="center"/>
          </w:tcPr>
          <w:p w14:paraId="4A852E2B" w14:textId="77777777" w:rsidR="00A20625" w:rsidRPr="005E1292" w:rsidRDefault="00A20625" w:rsidP="00A20625">
            <w:pPr>
              <w:spacing w:after="0" w:line="240" w:lineRule="auto"/>
              <w:jc w:val="left"/>
              <w:rPr>
                <w:rFonts w:eastAsia="Times New Roman"/>
                <w:caps/>
                <w:sz w:val="22"/>
              </w:rPr>
            </w:pPr>
            <w:r w:rsidRPr="005E1292">
              <w:rPr>
                <w:rFonts w:eastAsia="Times New Roman"/>
                <w:caps/>
                <w:sz w:val="22"/>
              </w:rPr>
              <w:t>8</w:t>
            </w:r>
          </w:p>
        </w:tc>
        <w:tc>
          <w:tcPr>
            <w:tcW w:w="7240" w:type="dxa"/>
            <w:tcBorders>
              <w:top w:val="single" w:sz="4" w:space="0" w:color="7F7F7F" w:themeColor="text1" w:themeTint="80"/>
              <w:bottom w:val="single" w:sz="4" w:space="0" w:color="7F7F7F" w:themeColor="text1" w:themeTint="80"/>
            </w:tcBorders>
            <w:vAlign w:val="center"/>
          </w:tcPr>
          <w:p w14:paraId="7248FD56" w14:textId="6D4FE7A8" w:rsidR="00A20625" w:rsidRPr="005E1292" w:rsidRDefault="00A20625" w:rsidP="00A20625">
            <w:pPr>
              <w:spacing w:after="0" w:line="240" w:lineRule="auto"/>
              <w:jc w:val="left"/>
              <w:rPr>
                <w:sz w:val="22"/>
              </w:rPr>
            </w:pPr>
            <w:r w:rsidRPr="005E1292">
              <w:rPr>
                <w:rFonts w:eastAsia="Times New Roman" w:cs="Calibri Light"/>
                <w:sz w:val="22"/>
              </w:rPr>
              <w:t>Liczba organizacji otrzymujących wsparcie doraźne</w:t>
            </w:r>
          </w:p>
        </w:tc>
        <w:tc>
          <w:tcPr>
            <w:tcW w:w="1298" w:type="dxa"/>
            <w:tcBorders>
              <w:top w:val="single" w:sz="4" w:space="0" w:color="7F7F7F" w:themeColor="text1" w:themeTint="80"/>
              <w:bottom w:val="single" w:sz="4" w:space="0" w:color="7F7F7F" w:themeColor="text1" w:themeTint="80"/>
            </w:tcBorders>
            <w:vAlign w:val="center"/>
          </w:tcPr>
          <w:p w14:paraId="752BC4A6" w14:textId="51CA22CC" w:rsidR="00A20625" w:rsidRPr="00A20625" w:rsidRDefault="00A20625" w:rsidP="00A20625">
            <w:pPr>
              <w:spacing w:after="0" w:line="240" w:lineRule="auto"/>
              <w:jc w:val="center"/>
              <w:rPr>
                <w:rFonts w:eastAsia="Times New Roman" w:cs="Calibri Light"/>
                <w:sz w:val="22"/>
                <w:szCs w:val="24"/>
              </w:rPr>
            </w:pPr>
            <w:r w:rsidRPr="00A20625">
              <w:rPr>
                <w:sz w:val="22"/>
              </w:rPr>
              <w:t>9100</w:t>
            </w:r>
          </w:p>
        </w:tc>
      </w:tr>
      <w:tr w:rsidR="00A20625" w:rsidRPr="005E1292" w14:paraId="112D7155" w14:textId="77777777" w:rsidTr="00A20625">
        <w:trPr>
          <w:trHeight w:val="794"/>
        </w:trPr>
        <w:tc>
          <w:tcPr>
            <w:tcW w:w="534" w:type="dxa"/>
            <w:tcBorders>
              <w:top w:val="single" w:sz="4" w:space="0" w:color="7F7F7F" w:themeColor="text1" w:themeTint="80"/>
              <w:bottom w:val="single" w:sz="4" w:space="0" w:color="7F7F7F" w:themeColor="text1" w:themeTint="80"/>
            </w:tcBorders>
            <w:vAlign w:val="center"/>
          </w:tcPr>
          <w:p w14:paraId="5E176F88" w14:textId="69D7C04E" w:rsidR="00A20625" w:rsidRPr="005E1292" w:rsidRDefault="00A20625" w:rsidP="00A20625">
            <w:pPr>
              <w:spacing w:after="0" w:line="240" w:lineRule="auto"/>
              <w:jc w:val="left"/>
              <w:rPr>
                <w:rFonts w:eastAsia="Times New Roman"/>
                <w:caps/>
                <w:sz w:val="22"/>
              </w:rPr>
            </w:pPr>
            <w:r>
              <w:rPr>
                <w:rFonts w:eastAsia="Times New Roman"/>
                <w:caps/>
                <w:sz w:val="22"/>
              </w:rPr>
              <w:t>9</w:t>
            </w:r>
          </w:p>
        </w:tc>
        <w:tc>
          <w:tcPr>
            <w:tcW w:w="7240" w:type="dxa"/>
            <w:tcBorders>
              <w:top w:val="single" w:sz="4" w:space="0" w:color="7F7F7F" w:themeColor="text1" w:themeTint="80"/>
              <w:bottom w:val="single" w:sz="4" w:space="0" w:color="7F7F7F" w:themeColor="text1" w:themeTint="80"/>
            </w:tcBorders>
            <w:vAlign w:val="center"/>
          </w:tcPr>
          <w:p w14:paraId="441E9BF5" w14:textId="146BAA3C" w:rsidR="00A20625" w:rsidRPr="005E1292" w:rsidRDefault="00A20625" w:rsidP="00A20625">
            <w:pPr>
              <w:spacing w:after="0" w:line="240" w:lineRule="auto"/>
              <w:jc w:val="left"/>
              <w:rPr>
                <w:rFonts w:asciiTheme="majorHAnsi" w:eastAsia="Times New Roman" w:hAnsiTheme="majorHAnsi" w:cstheme="majorHAnsi"/>
                <w:sz w:val="22"/>
              </w:rPr>
            </w:pPr>
            <w:r w:rsidRPr="005E1292">
              <w:rPr>
                <w:rFonts w:asciiTheme="majorHAnsi" w:eastAsia="Times New Roman" w:hAnsiTheme="majorHAnsi" w:cstheme="majorHAnsi"/>
                <w:sz w:val="22"/>
              </w:rPr>
              <w:t>Liczba organizacji, która uzyskała wsparcie w ramach PROO</w:t>
            </w:r>
          </w:p>
        </w:tc>
        <w:tc>
          <w:tcPr>
            <w:tcW w:w="1298" w:type="dxa"/>
            <w:tcBorders>
              <w:top w:val="single" w:sz="4" w:space="0" w:color="7F7F7F" w:themeColor="text1" w:themeTint="80"/>
              <w:bottom w:val="single" w:sz="4" w:space="0" w:color="7F7F7F" w:themeColor="text1" w:themeTint="80"/>
            </w:tcBorders>
            <w:vAlign w:val="center"/>
          </w:tcPr>
          <w:p w14:paraId="6551E0E4" w14:textId="5868C6E1" w:rsidR="00A20625" w:rsidRPr="00A20625" w:rsidRDefault="00A20625" w:rsidP="00A20625">
            <w:pPr>
              <w:spacing w:after="0" w:line="240" w:lineRule="auto"/>
              <w:jc w:val="center"/>
              <w:rPr>
                <w:rFonts w:asciiTheme="majorHAnsi" w:hAnsiTheme="majorHAnsi" w:cstheme="majorHAnsi"/>
                <w:color w:val="000000"/>
                <w:sz w:val="22"/>
              </w:rPr>
            </w:pPr>
            <w:r w:rsidRPr="00A20625">
              <w:rPr>
                <w:sz w:val="22"/>
              </w:rPr>
              <w:t>11</w:t>
            </w:r>
            <w:r>
              <w:rPr>
                <w:sz w:val="22"/>
              </w:rPr>
              <w:t> </w:t>
            </w:r>
            <w:r w:rsidRPr="00A20625">
              <w:rPr>
                <w:sz w:val="22"/>
              </w:rPr>
              <w:t>130</w:t>
            </w:r>
          </w:p>
        </w:tc>
      </w:tr>
    </w:tbl>
    <w:p w14:paraId="219E17B3" w14:textId="77777777" w:rsidR="00AE692C" w:rsidRDefault="00AE692C" w:rsidP="00AE692C"/>
    <w:p w14:paraId="294D032F" w14:textId="77777777" w:rsidR="00AE692C" w:rsidRDefault="00AE692C">
      <w:pPr>
        <w:spacing w:after="160" w:line="259" w:lineRule="auto"/>
        <w:jc w:val="left"/>
        <w:sectPr w:rsidR="00AE692C" w:rsidSect="00AE692C">
          <w:pgSz w:w="11906" w:h="16838"/>
          <w:pgMar w:top="1418" w:right="1418" w:bottom="1418" w:left="1418" w:header="709" w:footer="709" w:gutter="0"/>
          <w:cols w:space="708"/>
          <w:docGrid w:linePitch="360"/>
        </w:sectPr>
      </w:pPr>
    </w:p>
    <w:p w14:paraId="3B4A7D2A" w14:textId="2A1E9327" w:rsidR="00932F38" w:rsidRDefault="00975B7F" w:rsidP="00AE692C">
      <w:pPr>
        <w:pStyle w:val="Nagwek2"/>
      </w:pPr>
      <w:r>
        <w:lastRenderedPageBreak/>
        <w:t>5</w:t>
      </w:r>
      <w:r w:rsidR="00932F38">
        <w:t>.</w:t>
      </w:r>
      <w:r w:rsidR="00AE692C">
        <w:t>2.</w:t>
      </w:r>
      <w:r w:rsidR="00932F38">
        <w:t xml:space="preserve"> Logika interwencji w ramach Programu</w:t>
      </w:r>
      <w:bookmarkEnd w:id="71"/>
      <w:bookmarkEnd w:id="72"/>
      <w:bookmarkEnd w:id="73"/>
      <w:bookmarkEnd w:id="74"/>
    </w:p>
    <w:p w14:paraId="3AC25D3F" w14:textId="427186A0" w:rsidR="002C60FE" w:rsidRPr="002C60FE" w:rsidRDefault="002C60FE" w:rsidP="002C60FE">
      <w:pPr>
        <w:spacing w:after="0"/>
      </w:pPr>
      <w:r>
        <w:t>Logika interwencji – poziom celów i rezultatów</w:t>
      </w:r>
    </w:p>
    <w:tbl>
      <w:tblPr>
        <w:tblStyle w:val="Tabela-Siatka"/>
        <w:tblW w:w="1398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Look w:val="04A0" w:firstRow="1" w:lastRow="0" w:firstColumn="1" w:lastColumn="0" w:noHBand="0" w:noVBand="1"/>
      </w:tblPr>
      <w:tblGrid>
        <w:gridCol w:w="3186"/>
        <w:gridCol w:w="5451"/>
        <w:gridCol w:w="5345"/>
      </w:tblGrid>
      <w:tr w:rsidR="00932F38" w:rsidRPr="00BB139A" w14:paraId="175F25B9" w14:textId="77777777" w:rsidTr="00C6387A">
        <w:trPr>
          <w:trHeight w:val="796"/>
        </w:trPr>
        <w:tc>
          <w:tcPr>
            <w:tcW w:w="13982" w:type="dxa"/>
            <w:gridSpan w:val="3"/>
            <w:shd w:val="clear" w:color="auto" w:fill="DEEAF6" w:themeFill="accent1" w:themeFillTint="33"/>
            <w:vAlign w:val="center"/>
          </w:tcPr>
          <w:p w14:paraId="33B08EB3" w14:textId="004BA03B" w:rsidR="00932F38" w:rsidRPr="00BB139A" w:rsidRDefault="00932F38" w:rsidP="00C6387A">
            <w:pPr>
              <w:spacing w:after="0" w:line="240" w:lineRule="auto"/>
              <w:jc w:val="center"/>
              <w:rPr>
                <w:rFonts w:cs="Calibri Light"/>
                <w:sz w:val="22"/>
              </w:rPr>
            </w:pPr>
            <w:r w:rsidRPr="00BB139A">
              <w:rPr>
                <w:rFonts w:cs="Calibri Light"/>
                <w:sz w:val="22"/>
              </w:rPr>
              <w:t xml:space="preserve">Cel główny Programu: Wsparcie rozwoju instytucjonalnego organizacji społeczeństwa obywatelskiego oraz zwiększenie udziału tych organizacji </w:t>
            </w:r>
            <w:r w:rsidR="00AE692C">
              <w:rPr>
                <w:rFonts w:cs="Calibri Light"/>
                <w:sz w:val="22"/>
              </w:rPr>
              <w:br/>
            </w:r>
            <w:r w:rsidR="003B09BD">
              <w:rPr>
                <w:rFonts w:cs="Calibri Light"/>
                <w:sz w:val="22"/>
              </w:rPr>
              <w:t>w życiu publicznym i</w:t>
            </w:r>
            <w:r w:rsidR="003B09BD">
              <w:rPr>
                <w:rFonts w:ascii="Times New Roman" w:hAnsi="Times New Roman"/>
                <w:color w:val="000000"/>
                <w:spacing w:val="-2"/>
              </w:rPr>
              <w:t> </w:t>
            </w:r>
            <w:r w:rsidR="003B09BD" w:rsidRPr="003B09BD">
              <w:rPr>
                <w:rFonts w:asciiTheme="majorHAnsi" w:hAnsiTheme="majorHAnsi"/>
                <w:color w:val="000000"/>
                <w:spacing w:val="-2"/>
              </w:rPr>
              <w:t>upowszechnianie demokratycznych norm obywatelskości</w:t>
            </w:r>
          </w:p>
        </w:tc>
      </w:tr>
      <w:tr w:rsidR="00932F38" w:rsidRPr="00BB139A" w14:paraId="1159F567" w14:textId="77777777" w:rsidTr="00AE692C">
        <w:tc>
          <w:tcPr>
            <w:tcW w:w="3186" w:type="dxa"/>
            <w:shd w:val="clear" w:color="auto" w:fill="EDEDED" w:themeFill="accent3" w:themeFillTint="33"/>
          </w:tcPr>
          <w:p w14:paraId="3836E2A1" w14:textId="77777777" w:rsidR="00932F38" w:rsidRPr="00BB139A" w:rsidRDefault="00932F38" w:rsidP="002D06B1">
            <w:pPr>
              <w:spacing w:after="0" w:line="240" w:lineRule="auto"/>
              <w:rPr>
                <w:rFonts w:cs="Calibri Light"/>
                <w:sz w:val="22"/>
              </w:rPr>
            </w:pPr>
          </w:p>
        </w:tc>
        <w:tc>
          <w:tcPr>
            <w:tcW w:w="5451" w:type="dxa"/>
            <w:shd w:val="clear" w:color="auto" w:fill="EDEDED" w:themeFill="accent3" w:themeFillTint="33"/>
          </w:tcPr>
          <w:p w14:paraId="2CA10BB6" w14:textId="77777777" w:rsidR="00932F38" w:rsidRPr="00BB139A" w:rsidRDefault="00932F38" w:rsidP="002D06B1">
            <w:pPr>
              <w:spacing w:after="0" w:line="240" w:lineRule="auto"/>
              <w:jc w:val="center"/>
              <w:rPr>
                <w:rFonts w:cs="Calibri Light"/>
                <w:sz w:val="22"/>
              </w:rPr>
            </w:pPr>
            <w:r w:rsidRPr="00BB139A">
              <w:rPr>
                <w:rFonts w:cs="Calibri Light"/>
                <w:sz w:val="22"/>
              </w:rPr>
              <w:t>Priorytet</w:t>
            </w:r>
          </w:p>
        </w:tc>
        <w:tc>
          <w:tcPr>
            <w:tcW w:w="5345" w:type="dxa"/>
            <w:shd w:val="clear" w:color="auto" w:fill="EDEDED" w:themeFill="accent3" w:themeFillTint="33"/>
          </w:tcPr>
          <w:p w14:paraId="394B1B10" w14:textId="77777777" w:rsidR="00932F38" w:rsidRPr="00BB139A" w:rsidRDefault="00932F38" w:rsidP="002D06B1">
            <w:pPr>
              <w:spacing w:after="0" w:line="240" w:lineRule="auto"/>
              <w:jc w:val="center"/>
              <w:rPr>
                <w:rFonts w:cs="Calibri Light"/>
                <w:sz w:val="22"/>
              </w:rPr>
            </w:pPr>
            <w:r w:rsidRPr="00BB139A">
              <w:rPr>
                <w:rFonts w:cs="Calibri Light"/>
                <w:sz w:val="22"/>
              </w:rPr>
              <w:t>Wskaźnik</w:t>
            </w:r>
          </w:p>
        </w:tc>
      </w:tr>
      <w:tr w:rsidR="00932F38" w:rsidRPr="00BB139A" w14:paraId="1E64F603" w14:textId="77777777" w:rsidTr="00C6387A">
        <w:trPr>
          <w:trHeight w:val="680"/>
        </w:trPr>
        <w:tc>
          <w:tcPr>
            <w:tcW w:w="3186" w:type="dxa"/>
            <w:vMerge w:val="restart"/>
            <w:shd w:val="clear" w:color="auto" w:fill="9CC2E5" w:themeFill="accent1" w:themeFillTint="99"/>
            <w:vAlign w:val="center"/>
          </w:tcPr>
          <w:p w14:paraId="432839EC" w14:textId="09D51EE4" w:rsidR="00932F38" w:rsidRPr="00BB139A" w:rsidRDefault="00D771C1" w:rsidP="00D771C1">
            <w:pPr>
              <w:spacing w:after="0" w:line="240" w:lineRule="auto"/>
              <w:jc w:val="left"/>
              <w:rPr>
                <w:rFonts w:cs="Calibri Light"/>
                <w:sz w:val="22"/>
              </w:rPr>
            </w:pPr>
            <w:r>
              <w:rPr>
                <w:rFonts w:cs="Calibri Light"/>
                <w:sz w:val="22"/>
              </w:rPr>
              <w:t>Cel szczegółowy 1.</w:t>
            </w:r>
            <w:r>
              <w:rPr>
                <w:rFonts w:cs="Calibri Light"/>
                <w:sz w:val="22"/>
              </w:rPr>
              <w:br/>
              <w:t>Wzrost zaangażowania obywateli i organizacji obywatelskich w </w:t>
            </w:r>
            <w:r w:rsidR="00932F38" w:rsidRPr="00BB139A">
              <w:rPr>
                <w:rFonts w:cs="Calibri Light"/>
                <w:sz w:val="22"/>
              </w:rPr>
              <w:t>życie publiczne</w:t>
            </w:r>
          </w:p>
        </w:tc>
        <w:tc>
          <w:tcPr>
            <w:tcW w:w="5451" w:type="dxa"/>
            <w:shd w:val="clear" w:color="auto" w:fill="BDD6EE" w:themeFill="accent1" w:themeFillTint="66"/>
            <w:vAlign w:val="center"/>
          </w:tcPr>
          <w:p w14:paraId="7942F3D7" w14:textId="67FC48C7" w:rsidR="00932F38" w:rsidRPr="00BB139A" w:rsidRDefault="00932F38" w:rsidP="00D771C1">
            <w:pPr>
              <w:tabs>
                <w:tab w:val="left" w:pos="1097"/>
              </w:tabs>
              <w:spacing w:after="0" w:line="240" w:lineRule="auto"/>
              <w:jc w:val="left"/>
              <w:rPr>
                <w:rFonts w:cs="Calibri Light"/>
                <w:sz w:val="22"/>
              </w:rPr>
            </w:pPr>
            <w:r w:rsidRPr="00BB139A">
              <w:rPr>
                <w:rFonts w:cs="Calibri Light"/>
                <w:sz w:val="22"/>
              </w:rPr>
              <w:t>Priorytet 3.</w:t>
            </w:r>
            <w:r>
              <w:rPr>
                <w:rFonts w:cs="Calibri Light"/>
                <w:sz w:val="22"/>
              </w:rPr>
              <w:tab/>
            </w:r>
            <w:r w:rsidRPr="00BB139A">
              <w:rPr>
                <w:rFonts w:cs="Calibri Light"/>
                <w:sz w:val="22"/>
              </w:rPr>
              <w:t>Roz</w:t>
            </w:r>
            <w:r>
              <w:rPr>
                <w:rFonts w:cs="Calibri Light"/>
                <w:sz w:val="22"/>
              </w:rPr>
              <w:t xml:space="preserve">wój instytucjonalny </w:t>
            </w:r>
            <w:r w:rsidR="00AE692C">
              <w:rPr>
                <w:rFonts w:cs="Calibri Light"/>
                <w:sz w:val="22"/>
              </w:rPr>
              <w:t xml:space="preserve">lokalnych organizacji </w:t>
            </w:r>
            <w:r w:rsidR="00AE692C">
              <w:rPr>
                <w:rFonts w:cs="Calibri Light"/>
                <w:sz w:val="22"/>
              </w:rPr>
              <w:tab/>
            </w:r>
            <w:r w:rsidRPr="00BB139A">
              <w:rPr>
                <w:rFonts w:cs="Calibri Light"/>
                <w:sz w:val="22"/>
              </w:rPr>
              <w:t>strażniczych i mediów obywatelskich</w:t>
            </w:r>
          </w:p>
        </w:tc>
        <w:tc>
          <w:tcPr>
            <w:tcW w:w="5345" w:type="dxa"/>
            <w:vMerge w:val="restart"/>
            <w:shd w:val="clear" w:color="auto" w:fill="DEEAF6" w:themeFill="accent1" w:themeFillTint="33"/>
            <w:vAlign w:val="center"/>
          </w:tcPr>
          <w:p w14:paraId="18916888" w14:textId="32191A31" w:rsidR="00932F38" w:rsidRPr="00BB139A" w:rsidRDefault="00932F38" w:rsidP="00932F38">
            <w:pPr>
              <w:pStyle w:val="Akapitzlist"/>
              <w:numPr>
                <w:ilvl w:val="0"/>
                <w:numId w:val="21"/>
              </w:numPr>
              <w:spacing w:after="0" w:line="240" w:lineRule="auto"/>
              <w:jc w:val="left"/>
              <w:rPr>
                <w:rFonts w:cs="Calibri Light"/>
                <w:color w:val="000000"/>
                <w:sz w:val="22"/>
              </w:rPr>
            </w:pPr>
            <w:r>
              <w:rPr>
                <w:rFonts w:cs="Calibri Light"/>
                <w:color w:val="000000"/>
                <w:sz w:val="22"/>
              </w:rPr>
              <w:t>O</w:t>
            </w:r>
            <w:r w:rsidRPr="00BB139A">
              <w:rPr>
                <w:rFonts w:cs="Calibri Light"/>
                <w:color w:val="000000"/>
                <w:sz w:val="22"/>
              </w:rPr>
              <w:t xml:space="preserve">cena współpracy z urzędem administracji samorządowej </w:t>
            </w:r>
            <w:r>
              <w:rPr>
                <w:rFonts w:cs="Calibri Light"/>
                <w:color w:val="000000"/>
                <w:sz w:val="22"/>
              </w:rPr>
              <w:t>w zakresie włączania</w:t>
            </w:r>
            <w:r w:rsidRPr="00BB139A">
              <w:rPr>
                <w:rFonts w:cs="Calibri Light"/>
                <w:color w:val="000000"/>
                <w:sz w:val="22"/>
              </w:rPr>
              <w:t xml:space="preserve"> organizacji w</w:t>
            </w:r>
            <w:r w:rsidR="00BA0105">
              <w:rPr>
                <w:rFonts w:cs="Calibri Light"/>
                <w:color w:val="000000"/>
                <w:sz w:val="22"/>
              </w:rPr>
              <w:t> </w:t>
            </w:r>
            <w:r w:rsidRPr="00BB139A">
              <w:rPr>
                <w:rFonts w:cs="Calibri Light"/>
                <w:color w:val="000000"/>
                <w:sz w:val="22"/>
              </w:rPr>
              <w:t>planowanie i podejmowanie istotnych decyzji i</w:t>
            </w:r>
            <w:r w:rsidR="00BA0105">
              <w:rPr>
                <w:rFonts w:cs="Calibri Light"/>
                <w:color w:val="000000"/>
                <w:sz w:val="22"/>
              </w:rPr>
              <w:t> </w:t>
            </w:r>
            <w:r w:rsidRPr="00BB139A">
              <w:rPr>
                <w:rFonts w:cs="Calibri Light"/>
                <w:color w:val="000000"/>
                <w:sz w:val="22"/>
              </w:rPr>
              <w:t>uchwał</w:t>
            </w:r>
          </w:p>
          <w:p w14:paraId="1D63F2C3" w14:textId="67FB6F28" w:rsidR="00932F38" w:rsidRPr="00BB139A" w:rsidRDefault="00932F38" w:rsidP="00BA0105">
            <w:pPr>
              <w:pStyle w:val="Akapitzlist"/>
              <w:numPr>
                <w:ilvl w:val="0"/>
                <w:numId w:val="21"/>
              </w:numPr>
              <w:spacing w:after="0" w:line="240" w:lineRule="auto"/>
              <w:jc w:val="left"/>
              <w:rPr>
                <w:rFonts w:cs="Calibri Light"/>
                <w:color w:val="000000"/>
                <w:sz w:val="22"/>
              </w:rPr>
            </w:pPr>
            <w:r>
              <w:rPr>
                <w:rFonts w:cs="Calibri Light"/>
                <w:color w:val="000000"/>
                <w:sz w:val="22"/>
              </w:rPr>
              <w:t>Odsetek organizacji non-profit, których główna dziedzina</w:t>
            </w:r>
            <w:r w:rsidRPr="00BB139A">
              <w:rPr>
                <w:rFonts w:cs="Calibri Light"/>
                <w:color w:val="000000"/>
                <w:sz w:val="22"/>
              </w:rPr>
              <w:t xml:space="preserve"> działalności statutowej</w:t>
            </w:r>
            <w:r>
              <w:rPr>
                <w:rFonts w:cs="Calibri Light"/>
                <w:color w:val="000000"/>
                <w:sz w:val="22"/>
              </w:rPr>
              <w:t xml:space="preserve"> jest definiowana w</w:t>
            </w:r>
            <w:r w:rsidR="00BA0105">
              <w:rPr>
                <w:rFonts w:cs="Calibri Light"/>
                <w:color w:val="000000"/>
                <w:sz w:val="22"/>
              </w:rPr>
              <w:t> </w:t>
            </w:r>
            <w:r>
              <w:rPr>
                <w:rFonts w:cs="Calibri Light"/>
                <w:color w:val="000000"/>
                <w:sz w:val="22"/>
              </w:rPr>
              <w:t>obszarze „</w:t>
            </w:r>
            <w:r w:rsidRPr="00BB139A">
              <w:rPr>
                <w:rFonts w:cs="Calibri Light"/>
                <w:color w:val="000000"/>
                <w:sz w:val="22"/>
              </w:rPr>
              <w:t>prawo i jego ochrona, prawa człowieka</w:t>
            </w:r>
            <w:r w:rsidR="00BA0105">
              <w:rPr>
                <w:rFonts w:cs="Calibri Light"/>
                <w:color w:val="000000"/>
                <w:sz w:val="22"/>
              </w:rPr>
              <w:t>”</w:t>
            </w:r>
          </w:p>
        </w:tc>
      </w:tr>
      <w:tr w:rsidR="00932F38" w:rsidRPr="00BB139A" w14:paraId="0145BAEB" w14:textId="77777777" w:rsidTr="00C6387A">
        <w:trPr>
          <w:trHeight w:val="680"/>
        </w:trPr>
        <w:tc>
          <w:tcPr>
            <w:tcW w:w="3186" w:type="dxa"/>
            <w:vMerge/>
            <w:shd w:val="clear" w:color="auto" w:fill="9CC2E5" w:themeFill="accent1" w:themeFillTint="99"/>
            <w:vAlign w:val="center"/>
          </w:tcPr>
          <w:p w14:paraId="223E9C65" w14:textId="77777777" w:rsidR="00932F38" w:rsidRPr="00BB139A" w:rsidRDefault="00932F38" w:rsidP="002D06B1">
            <w:pPr>
              <w:spacing w:after="0" w:line="240" w:lineRule="auto"/>
              <w:jc w:val="left"/>
              <w:rPr>
                <w:rFonts w:cs="Calibri Light"/>
                <w:sz w:val="22"/>
              </w:rPr>
            </w:pPr>
          </w:p>
        </w:tc>
        <w:tc>
          <w:tcPr>
            <w:tcW w:w="5451" w:type="dxa"/>
            <w:shd w:val="clear" w:color="auto" w:fill="BDD6EE" w:themeFill="accent1" w:themeFillTint="66"/>
            <w:vAlign w:val="center"/>
          </w:tcPr>
          <w:p w14:paraId="57029739" w14:textId="62F7FC87" w:rsidR="00932F38" w:rsidRPr="00BB139A" w:rsidRDefault="00932F38" w:rsidP="002D06B1">
            <w:pPr>
              <w:tabs>
                <w:tab w:val="left" w:pos="1097"/>
              </w:tabs>
              <w:spacing w:after="0" w:line="240" w:lineRule="auto"/>
              <w:jc w:val="left"/>
              <w:rPr>
                <w:rFonts w:cs="Calibri Light"/>
                <w:sz w:val="22"/>
              </w:rPr>
            </w:pPr>
            <w:r>
              <w:rPr>
                <w:rFonts w:cs="Calibri Light"/>
                <w:sz w:val="22"/>
              </w:rPr>
              <w:t>Priorytet 4.</w:t>
            </w:r>
            <w:r>
              <w:rPr>
                <w:rFonts w:cs="Calibri Light"/>
                <w:sz w:val="22"/>
              </w:rPr>
              <w:tab/>
            </w:r>
            <w:r w:rsidRPr="00BB139A">
              <w:rPr>
                <w:rFonts w:cs="Calibri Light"/>
                <w:sz w:val="22"/>
              </w:rPr>
              <w:t xml:space="preserve">Rozwój instytucjonalny </w:t>
            </w:r>
            <w:proofErr w:type="spellStart"/>
            <w:r w:rsidRPr="00BB139A">
              <w:rPr>
                <w:rFonts w:cs="Calibri Light"/>
                <w:sz w:val="22"/>
              </w:rPr>
              <w:t>think</w:t>
            </w:r>
            <w:proofErr w:type="spellEnd"/>
            <w:r w:rsidRPr="00BB139A">
              <w:rPr>
                <w:rFonts w:cs="Calibri Light"/>
                <w:sz w:val="22"/>
              </w:rPr>
              <w:t xml:space="preserve"> tanków </w:t>
            </w:r>
            <w:r>
              <w:rPr>
                <w:rFonts w:cs="Calibri Light"/>
                <w:sz w:val="22"/>
              </w:rPr>
              <w:tab/>
            </w:r>
            <w:r w:rsidRPr="00BB139A">
              <w:rPr>
                <w:rFonts w:cs="Calibri Light"/>
                <w:sz w:val="22"/>
              </w:rPr>
              <w:t>obywatelskich</w:t>
            </w:r>
          </w:p>
        </w:tc>
        <w:tc>
          <w:tcPr>
            <w:tcW w:w="5345" w:type="dxa"/>
            <w:vMerge/>
            <w:shd w:val="clear" w:color="auto" w:fill="DEEAF6" w:themeFill="accent1" w:themeFillTint="33"/>
            <w:vAlign w:val="center"/>
          </w:tcPr>
          <w:p w14:paraId="197038F4" w14:textId="77777777" w:rsidR="00932F38" w:rsidRPr="00BB139A" w:rsidRDefault="00932F38" w:rsidP="002D06B1">
            <w:pPr>
              <w:spacing w:after="0" w:line="240" w:lineRule="auto"/>
              <w:jc w:val="left"/>
              <w:rPr>
                <w:rFonts w:cs="Calibri Light"/>
                <w:color w:val="000000"/>
                <w:sz w:val="22"/>
              </w:rPr>
            </w:pPr>
          </w:p>
        </w:tc>
      </w:tr>
      <w:tr w:rsidR="00932F38" w:rsidRPr="00BB139A" w14:paraId="34AD45EF" w14:textId="77777777" w:rsidTr="00C6387A">
        <w:trPr>
          <w:trHeight w:val="680"/>
        </w:trPr>
        <w:tc>
          <w:tcPr>
            <w:tcW w:w="3186" w:type="dxa"/>
            <w:vMerge/>
            <w:shd w:val="clear" w:color="auto" w:fill="9CC2E5" w:themeFill="accent1" w:themeFillTint="99"/>
            <w:vAlign w:val="center"/>
          </w:tcPr>
          <w:p w14:paraId="6B20676A" w14:textId="77777777" w:rsidR="00932F38" w:rsidRPr="00BB139A" w:rsidRDefault="00932F38" w:rsidP="002D06B1">
            <w:pPr>
              <w:spacing w:after="0" w:line="240" w:lineRule="auto"/>
              <w:jc w:val="left"/>
              <w:rPr>
                <w:rFonts w:cs="Calibri Light"/>
                <w:sz w:val="22"/>
              </w:rPr>
            </w:pPr>
          </w:p>
        </w:tc>
        <w:tc>
          <w:tcPr>
            <w:tcW w:w="5451" w:type="dxa"/>
            <w:shd w:val="clear" w:color="auto" w:fill="BDD6EE" w:themeFill="accent1" w:themeFillTint="66"/>
            <w:vAlign w:val="center"/>
          </w:tcPr>
          <w:p w14:paraId="552C477E" w14:textId="77777777" w:rsidR="00932F38" w:rsidRPr="00BB139A" w:rsidRDefault="00932F38" w:rsidP="002D06B1">
            <w:pPr>
              <w:tabs>
                <w:tab w:val="left" w:pos="1097"/>
              </w:tabs>
              <w:spacing w:after="0" w:line="240" w:lineRule="auto"/>
              <w:jc w:val="left"/>
              <w:rPr>
                <w:rFonts w:cs="Calibri Light"/>
                <w:sz w:val="22"/>
              </w:rPr>
            </w:pPr>
            <w:r w:rsidRPr="00BB139A">
              <w:rPr>
                <w:rFonts w:cs="Calibri Light"/>
                <w:sz w:val="22"/>
              </w:rPr>
              <w:t xml:space="preserve">Priorytet 5. </w:t>
            </w:r>
            <w:r>
              <w:rPr>
                <w:rFonts w:cs="Calibri Light"/>
                <w:sz w:val="22"/>
              </w:rPr>
              <w:tab/>
            </w:r>
            <w:r w:rsidRPr="00BB139A">
              <w:rPr>
                <w:rFonts w:cs="Calibri Light"/>
                <w:sz w:val="22"/>
              </w:rPr>
              <w:t xml:space="preserve">Wsparcie doraźne – </w:t>
            </w:r>
            <w:proofErr w:type="spellStart"/>
            <w:r w:rsidRPr="00BB139A">
              <w:rPr>
                <w:rFonts w:cs="Calibri Light"/>
                <w:sz w:val="22"/>
              </w:rPr>
              <w:t>mikrodotacje</w:t>
            </w:r>
            <w:proofErr w:type="spellEnd"/>
          </w:p>
        </w:tc>
        <w:tc>
          <w:tcPr>
            <w:tcW w:w="5345" w:type="dxa"/>
            <w:vMerge/>
            <w:shd w:val="clear" w:color="auto" w:fill="DEEAF6" w:themeFill="accent1" w:themeFillTint="33"/>
            <w:vAlign w:val="center"/>
          </w:tcPr>
          <w:p w14:paraId="1EBF8710" w14:textId="77777777" w:rsidR="00932F38" w:rsidRPr="00BB139A" w:rsidRDefault="00932F38" w:rsidP="002D06B1">
            <w:pPr>
              <w:spacing w:after="0" w:line="240" w:lineRule="auto"/>
              <w:jc w:val="left"/>
              <w:rPr>
                <w:rFonts w:cs="Calibri Light"/>
                <w:sz w:val="22"/>
              </w:rPr>
            </w:pPr>
          </w:p>
        </w:tc>
      </w:tr>
      <w:tr w:rsidR="00C6387A" w:rsidRPr="00BB139A" w14:paraId="24EDC31F" w14:textId="77777777" w:rsidTr="00C6387A">
        <w:trPr>
          <w:trHeight w:val="680"/>
        </w:trPr>
        <w:tc>
          <w:tcPr>
            <w:tcW w:w="3186" w:type="dxa"/>
            <w:vMerge w:val="restart"/>
            <w:shd w:val="clear" w:color="auto" w:fill="A8D08D" w:themeFill="accent6" w:themeFillTint="99"/>
            <w:vAlign w:val="center"/>
          </w:tcPr>
          <w:p w14:paraId="7660A27C" w14:textId="60CBC92A" w:rsidR="00C6387A" w:rsidRPr="00BB139A" w:rsidRDefault="00C6387A" w:rsidP="002D06B1">
            <w:pPr>
              <w:spacing w:after="0" w:line="240" w:lineRule="auto"/>
              <w:jc w:val="left"/>
              <w:rPr>
                <w:rFonts w:cs="Calibri Light"/>
                <w:sz w:val="22"/>
              </w:rPr>
            </w:pPr>
            <w:r>
              <w:rPr>
                <w:rFonts w:cs="Calibri Light"/>
                <w:sz w:val="22"/>
              </w:rPr>
              <w:t>Cel szczegółowy 2.</w:t>
            </w:r>
            <w:r>
              <w:rPr>
                <w:rFonts w:cs="Calibri Light"/>
                <w:sz w:val="22"/>
              </w:rPr>
              <w:br/>
            </w:r>
            <w:r w:rsidRPr="00BB139A">
              <w:rPr>
                <w:rFonts w:cs="Calibri Light"/>
                <w:sz w:val="22"/>
              </w:rPr>
              <w:t>Wzmocnienie organizacji obywatelskich w wymiarze strategicznym</w:t>
            </w:r>
          </w:p>
        </w:tc>
        <w:tc>
          <w:tcPr>
            <w:tcW w:w="5451" w:type="dxa"/>
            <w:shd w:val="clear" w:color="auto" w:fill="C5E0B3" w:themeFill="accent6" w:themeFillTint="66"/>
            <w:vAlign w:val="center"/>
          </w:tcPr>
          <w:p w14:paraId="744665E1" w14:textId="0CB7E694" w:rsidR="00C6387A" w:rsidRPr="00BB139A" w:rsidRDefault="00C6387A" w:rsidP="002D06B1">
            <w:pPr>
              <w:tabs>
                <w:tab w:val="left" w:pos="1097"/>
              </w:tabs>
              <w:spacing w:after="0" w:line="240" w:lineRule="auto"/>
              <w:jc w:val="left"/>
              <w:rPr>
                <w:rFonts w:cs="Calibri Light"/>
                <w:sz w:val="22"/>
              </w:rPr>
            </w:pPr>
            <w:r>
              <w:rPr>
                <w:rFonts w:cs="Calibri Light"/>
                <w:sz w:val="22"/>
              </w:rPr>
              <w:t>Priorytet 1.</w:t>
            </w:r>
            <w:r w:rsidRPr="00BB139A">
              <w:rPr>
                <w:rFonts w:cs="Calibri Light"/>
                <w:sz w:val="22"/>
              </w:rPr>
              <w:t xml:space="preserve"> </w:t>
            </w:r>
            <w:r>
              <w:rPr>
                <w:rFonts w:cs="Calibri Light"/>
                <w:sz w:val="22"/>
              </w:rPr>
              <w:tab/>
            </w:r>
            <w:r w:rsidRPr="00BB139A">
              <w:rPr>
                <w:rFonts w:cs="Calibri Light"/>
                <w:sz w:val="22"/>
              </w:rPr>
              <w:t>Zrównoważony rozwój organizacyjny</w:t>
            </w:r>
          </w:p>
        </w:tc>
        <w:tc>
          <w:tcPr>
            <w:tcW w:w="5345" w:type="dxa"/>
            <w:vMerge w:val="restart"/>
            <w:shd w:val="clear" w:color="auto" w:fill="E2EFD9" w:themeFill="accent6" w:themeFillTint="33"/>
            <w:vAlign w:val="center"/>
          </w:tcPr>
          <w:p w14:paraId="4BBF6C3D" w14:textId="7094CDF3" w:rsidR="00C6387A" w:rsidRPr="00BB139A" w:rsidRDefault="00C6387A" w:rsidP="00932F38">
            <w:pPr>
              <w:pStyle w:val="Akapitzlist"/>
              <w:numPr>
                <w:ilvl w:val="0"/>
                <w:numId w:val="22"/>
              </w:numPr>
              <w:spacing w:after="0" w:line="240" w:lineRule="auto"/>
              <w:jc w:val="left"/>
              <w:rPr>
                <w:rFonts w:cs="Calibri Light"/>
                <w:sz w:val="22"/>
              </w:rPr>
            </w:pPr>
            <w:r w:rsidRPr="00BB139A">
              <w:rPr>
                <w:rFonts w:cs="Calibri Light"/>
                <w:sz w:val="22"/>
              </w:rPr>
              <w:t>Odsetek organizacji wskazujących trudności wewnętrzne w organizacji jako przeszko</w:t>
            </w:r>
            <w:r>
              <w:rPr>
                <w:rFonts w:cs="Calibri Light"/>
                <w:sz w:val="22"/>
              </w:rPr>
              <w:t>dę w działalności i rozwoju</w:t>
            </w:r>
          </w:p>
          <w:p w14:paraId="09A8319C" w14:textId="2EB2FEE5" w:rsidR="00C6387A" w:rsidRPr="00BB139A" w:rsidRDefault="00C6387A" w:rsidP="00932F38">
            <w:pPr>
              <w:pStyle w:val="Akapitzlist"/>
              <w:numPr>
                <w:ilvl w:val="0"/>
                <w:numId w:val="22"/>
              </w:numPr>
              <w:spacing w:after="0" w:line="240" w:lineRule="auto"/>
              <w:jc w:val="left"/>
              <w:rPr>
                <w:rFonts w:cs="Calibri Light"/>
                <w:sz w:val="22"/>
              </w:rPr>
            </w:pPr>
            <w:r w:rsidRPr="00BB139A">
              <w:rPr>
                <w:rFonts w:cs="Calibri Light"/>
                <w:sz w:val="22"/>
              </w:rPr>
              <w:t>Odsetek organizacji non-profit, w których funkcjonował dokument strategiczny</w:t>
            </w:r>
          </w:p>
          <w:p w14:paraId="1483F229" w14:textId="413F5C37" w:rsidR="00C6387A" w:rsidRPr="00BB139A" w:rsidRDefault="00C6387A" w:rsidP="008E74DB">
            <w:pPr>
              <w:pStyle w:val="Akapitzlist"/>
              <w:numPr>
                <w:ilvl w:val="0"/>
                <w:numId w:val="22"/>
              </w:numPr>
              <w:spacing w:after="0" w:line="240" w:lineRule="auto"/>
              <w:jc w:val="left"/>
              <w:rPr>
                <w:rFonts w:cs="Calibri Light"/>
                <w:sz w:val="22"/>
              </w:rPr>
            </w:pPr>
            <w:r>
              <w:rPr>
                <w:rFonts w:cs="Calibri Light"/>
                <w:sz w:val="22"/>
              </w:rPr>
              <w:t>Syntetyczny</w:t>
            </w:r>
            <w:r w:rsidRPr="00BB139A">
              <w:rPr>
                <w:rFonts w:cs="Calibri Light"/>
                <w:sz w:val="22"/>
              </w:rPr>
              <w:t xml:space="preserve"> wskaźnik profesjonalizacji zarządzania organizacjami non-profit</w:t>
            </w:r>
          </w:p>
        </w:tc>
      </w:tr>
      <w:tr w:rsidR="00C6387A" w:rsidRPr="00BB139A" w14:paraId="154CA0F3" w14:textId="77777777" w:rsidTr="00C6387A">
        <w:trPr>
          <w:trHeight w:val="680"/>
        </w:trPr>
        <w:tc>
          <w:tcPr>
            <w:tcW w:w="3186" w:type="dxa"/>
            <w:vMerge/>
            <w:shd w:val="clear" w:color="auto" w:fill="A8D08D" w:themeFill="accent6" w:themeFillTint="99"/>
            <w:vAlign w:val="center"/>
          </w:tcPr>
          <w:p w14:paraId="506346E4" w14:textId="77777777" w:rsidR="00C6387A" w:rsidRPr="00BB139A" w:rsidRDefault="00C6387A" w:rsidP="002D06B1">
            <w:pPr>
              <w:spacing w:after="0" w:line="240" w:lineRule="auto"/>
              <w:jc w:val="left"/>
              <w:rPr>
                <w:rFonts w:cs="Calibri Light"/>
                <w:sz w:val="22"/>
              </w:rPr>
            </w:pPr>
          </w:p>
        </w:tc>
        <w:tc>
          <w:tcPr>
            <w:tcW w:w="5451" w:type="dxa"/>
            <w:shd w:val="clear" w:color="auto" w:fill="C5E0B3" w:themeFill="accent6" w:themeFillTint="66"/>
            <w:vAlign w:val="center"/>
          </w:tcPr>
          <w:p w14:paraId="0BA36F60" w14:textId="2EF62944" w:rsidR="00C6387A" w:rsidRPr="00BB139A" w:rsidRDefault="00C6387A" w:rsidP="002D06B1">
            <w:pPr>
              <w:tabs>
                <w:tab w:val="left" w:pos="1097"/>
              </w:tabs>
              <w:spacing w:after="0" w:line="240" w:lineRule="auto"/>
              <w:jc w:val="left"/>
              <w:rPr>
                <w:rFonts w:cs="Calibri Light"/>
                <w:sz w:val="22"/>
              </w:rPr>
            </w:pPr>
            <w:r>
              <w:rPr>
                <w:rFonts w:cs="Calibri Light"/>
                <w:sz w:val="22"/>
              </w:rPr>
              <w:t>Priorytet 2.</w:t>
            </w:r>
            <w:r>
              <w:rPr>
                <w:rFonts w:cs="Calibri Light"/>
                <w:sz w:val="22"/>
              </w:rPr>
              <w:tab/>
              <w:t>Kapitały żelazne</w:t>
            </w:r>
          </w:p>
        </w:tc>
        <w:tc>
          <w:tcPr>
            <w:tcW w:w="5345" w:type="dxa"/>
            <w:vMerge/>
            <w:shd w:val="clear" w:color="auto" w:fill="E2EFD9" w:themeFill="accent6" w:themeFillTint="33"/>
            <w:vAlign w:val="center"/>
          </w:tcPr>
          <w:p w14:paraId="17F4617C" w14:textId="77777777" w:rsidR="00C6387A" w:rsidRPr="00BB139A" w:rsidRDefault="00C6387A" w:rsidP="002D06B1">
            <w:pPr>
              <w:spacing w:after="0" w:line="240" w:lineRule="auto"/>
              <w:jc w:val="left"/>
              <w:rPr>
                <w:rFonts w:cs="Calibri Light"/>
                <w:sz w:val="22"/>
              </w:rPr>
            </w:pPr>
          </w:p>
        </w:tc>
      </w:tr>
      <w:tr w:rsidR="00C6387A" w:rsidRPr="00BB139A" w14:paraId="4B3A244C" w14:textId="77777777" w:rsidTr="00C6387A">
        <w:trPr>
          <w:trHeight w:val="680"/>
        </w:trPr>
        <w:tc>
          <w:tcPr>
            <w:tcW w:w="3186" w:type="dxa"/>
            <w:vMerge/>
            <w:shd w:val="clear" w:color="auto" w:fill="A8D08D" w:themeFill="accent6" w:themeFillTint="99"/>
            <w:vAlign w:val="center"/>
          </w:tcPr>
          <w:p w14:paraId="37C74805" w14:textId="77777777" w:rsidR="00C6387A" w:rsidRPr="00BB139A" w:rsidRDefault="00C6387A" w:rsidP="002D06B1">
            <w:pPr>
              <w:spacing w:after="0" w:line="240" w:lineRule="auto"/>
              <w:jc w:val="left"/>
              <w:rPr>
                <w:rFonts w:cs="Calibri Light"/>
                <w:sz w:val="22"/>
              </w:rPr>
            </w:pPr>
          </w:p>
        </w:tc>
        <w:tc>
          <w:tcPr>
            <w:tcW w:w="5451" w:type="dxa"/>
            <w:shd w:val="clear" w:color="auto" w:fill="C5E0B3" w:themeFill="accent6" w:themeFillTint="66"/>
            <w:vAlign w:val="center"/>
          </w:tcPr>
          <w:p w14:paraId="7322B511" w14:textId="5AF0D7E6" w:rsidR="00C6387A" w:rsidRPr="00BB139A" w:rsidRDefault="00C6387A" w:rsidP="002D06B1">
            <w:pPr>
              <w:tabs>
                <w:tab w:val="left" w:pos="1097"/>
              </w:tabs>
              <w:spacing w:after="0" w:line="240" w:lineRule="auto"/>
              <w:jc w:val="left"/>
              <w:rPr>
                <w:rFonts w:cs="Calibri Light"/>
                <w:sz w:val="22"/>
              </w:rPr>
            </w:pPr>
            <w:r w:rsidRPr="00BB139A">
              <w:rPr>
                <w:rFonts w:cs="Calibri Light"/>
                <w:sz w:val="22"/>
              </w:rPr>
              <w:t xml:space="preserve">Priorytet 3. </w:t>
            </w:r>
            <w:r>
              <w:rPr>
                <w:rFonts w:cs="Calibri Light"/>
                <w:sz w:val="22"/>
              </w:rPr>
              <w:tab/>
            </w:r>
            <w:r w:rsidRPr="00BB139A">
              <w:rPr>
                <w:rFonts w:cs="Calibri Light"/>
                <w:sz w:val="22"/>
              </w:rPr>
              <w:t xml:space="preserve">Rozwój instytucjonalny </w:t>
            </w:r>
            <w:r>
              <w:rPr>
                <w:rFonts w:cs="Calibri Light"/>
                <w:sz w:val="22"/>
              </w:rPr>
              <w:t xml:space="preserve">lokalnych </w:t>
            </w:r>
            <w:r w:rsidRPr="00BB139A">
              <w:rPr>
                <w:rFonts w:cs="Calibri Light"/>
                <w:sz w:val="22"/>
              </w:rPr>
              <w:t xml:space="preserve">organizacji </w:t>
            </w:r>
            <w:r>
              <w:rPr>
                <w:rFonts w:cs="Calibri Light"/>
                <w:sz w:val="22"/>
              </w:rPr>
              <w:tab/>
            </w:r>
            <w:r w:rsidRPr="00BB139A">
              <w:rPr>
                <w:rFonts w:cs="Calibri Light"/>
                <w:sz w:val="22"/>
              </w:rPr>
              <w:t>strażniczych i mediów obywatelskich</w:t>
            </w:r>
            <w:r w:rsidRPr="00BB139A" w:rsidDel="00C6387A">
              <w:rPr>
                <w:rFonts w:cs="Calibri Light"/>
                <w:sz w:val="22"/>
              </w:rPr>
              <w:t xml:space="preserve"> </w:t>
            </w:r>
          </w:p>
        </w:tc>
        <w:tc>
          <w:tcPr>
            <w:tcW w:w="5345" w:type="dxa"/>
            <w:vMerge/>
            <w:shd w:val="clear" w:color="auto" w:fill="E2EFD9" w:themeFill="accent6" w:themeFillTint="33"/>
            <w:vAlign w:val="center"/>
          </w:tcPr>
          <w:p w14:paraId="1589316F" w14:textId="77777777" w:rsidR="00C6387A" w:rsidRPr="00BB139A" w:rsidRDefault="00C6387A" w:rsidP="002D06B1">
            <w:pPr>
              <w:spacing w:after="0" w:line="240" w:lineRule="auto"/>
              <w:jc w:val="left"/>
              <w:rPr>
                <w:rFonts w:cs="Calibri Light"/>
                <w:sz w:val="22"/>
              </w:rPr>
            </w:pPr>
          </w:p>
        </w:tc>
      </w:tr>
      <w:tr w:rsidR="00C6387A" w:rsidRPr="00BB139A" w14:paraId="13C3D10B" w14:textId="77777777" w:rsidTr="00C6387A">
        <w:trPr>
          <w:trHeight w:val="680"/>
        </w:trPr>
        <w:tc>
          <w:tcPr>
            <w:tcW w:w="3186" w:type="dxa"/>
            <w:vMerge/>
            <w:shd w:val="clear" w:color="auto" w:fill="A8D08D" w:themeFill="accent6" w:themeFillTint="99"/>
            <w:vAlign w:val="center"/>
          </w:tcPr>
          <w:p w14:paraId="50E14B02" w14:textId="77777777" w:rsidR="00C6387A" w:rsidRPr="00BB139A" w:rsidRDefault="00C6387A" w:rsidP="002D06B1">
            <w:pPr>
              <w:spacing w:after="0" w:line="240" w:lineRule="auto"/>
              <w:jc w:val="left"/>
              <w:rPr>
                <w:rFonts w:cs="Calibri Light"/>
                <w:sz w:val="22"/>
              </w:rPr>
            </w:pPr>
          </w:p>
        </w:tc>
        <w:tc>
          <w:tcPr>
            <w:tcW w:w="5451" w:type="dxa"/>
            <w:shd w:val="clear" w:color="auto" w:fill="C5E0B3" w:themeFill="accent6" w:themeFillTint="66"/>
            <w:vAlign w:val="center"/>
          </w:tcPr>
          <w:p w14:paraId="6E07760D" w14:textId="7F170B96" w:rsidR="00C6387A" w:rsidRPr="00BB139A" w:rsidRDefault="00C6387A" w:rsidP="002D06B1">
            <w:pPr>
              <w:tabs>
                <w:tab w:val="left" w:pos="1097"/>
              </w:tabs>
              <w:spacing w:after="0" w:line="240" w:lineRule="auto"/>
              <w:jc w:val="left"/>
              <w:rPr>
                <w:rFonts w:cs="Calibri Light"/>
                <w:sz w:val="22"/>
              </w:rPr>
            </w:pPr>
            <w:r w:rsidRPr="00BB139A">
              <w:rPr>
                <w:rFonts w:cs="Calibri Light"/>
                <w:sz w:val="22"/>
              </w:rPr>
              <w:t xml:space="preserve">Priorytet 4. </w:t>
            </w:r>
            <w:r>
              <w:rPr>
                <w:rFonts w:cs="Calibri Light"/>
                <w:sz w:val="22"/>
              </w:rPr>
              <w:tab/>
            </w:r>
            <w:r w:rsidRPr="00BB139A">
              <w:rPr>
                <w:rFonts w:cs="Calibri Light"/>
                <w:sz w:val="22"/>
              </w:rPr>
              <w:t xml:space="preserve">Rozwój instytucjonalny </w:t>
            </w:r>
            <w:proofErr w:type="spellStart"/>
            <w:r w:rsidRPr="00BB139A">
              <w:rPr>
                <w:rFonts w:cs="Calibri Light"/>
                <w:sz w:val="22"/>
              </w:rPr>
              <w:t>think</w:t>
            </w:r>
            <w:proofErr w:type="spellEnd"/>
            <w:r w:rsidRPr="00BB139A">
              <w:rPr>
                <w:rFonts w:cs="Calibri Light"/>
                <w:sz w:val="22"/>
              </w:rPr>
              <w:t xml:space="preserve"> tanków </w:t>
            </w:r>
            <w:r>
              <w:rPr>
                <w:rFonts w:cs="Calibri Light"/>
                <w:sz w:val="22"/>
              </w:rPr>
              <w:tab/>
            </w:r>
            <w:r w:rsidRPr="00BB139A">
              <w:rPr>
                <w:rFonts w:cs="Calibri Light"/>
                <w:sz w:val="22"/>
              </w:rPr>
              <w:t>obywatelskich</w:t>
            </w:r>
          </w:p>
        </w:tc>
        <w:tc>
          <w:tcPr>
            <w:tcW w:w="5345" w:type="dxa"/>
            <w:vMerge/>
            <w:shd w:val="clear" w:color="auto" w:fill="E2EFD9" w:themeFill="accent6" w:themeFillTint="33"/>
            <w:vAlign w:val="center"/>
          </w:tcPr>
          <w:p w14:paraId="2F48B7E6" w14:textId="77777777" w:rsidR="00C6387A" w:rsidRPr="00BB139A" w:rsidRDefault="00C6387A" w:rsidP="002D06B1">
            <w:pPr>
              <w:spacing w:after="0" w:line="240" w:lineRule="auto"/>
              <w:jc w:val="left"/>
              <w:rPr>
                <w:rFonts w:cs="Calibri Light"/>
                <w:sz w:val="22"/>
              </w:rPr>
            </w:pPr>
          </w:p>
        </w:tc>
      </w:tr>
      <w:tr w:rsidR="00932F38" w:rsidRPr="00BB139A" w14:paraId="4EE70181" w14:textId="77777777" w:rsidTr="00C6387A">
        <w:trPr>
          <w:trHeight w:val="680"/>
        </w:trPr>
        <w:tc>
          <w:tcPr>
            <w:tcW w:w="3186" w:type="dxa"/>
            <w:vMerge w:val="restart"/>
            <w:shd w:val="clear" w:color="auto" w:fill="FFD966" w:themeFill="accent4" w:themeFillTint="99"/>
            <w:vAlign w:val="center"/>
          </w:tcPr>
          <w:p w14:paraId="108F6190" w14:textId="3B44B23E" w:rsidR="00932F38" w:rsidRPr="00BB139A" w:rsidRDefault="00D771C1" w:rsidP="002D06B1">
            <w:pPr>
              <w:tabs>
                <w:tab w:val="center" w:pos="2163"/>
              </w:tabs>
              <w:spacing w:after="0" w:line="240" w:lineRule="auto"/>
              <w:jc w:val="left"/>
              <w:rPr>
                <w:rFonts w:cs="Calibri Light"/>
                <w:sz w:val="22"/>
              </w:rPr>
            </w:pPr>
            <w:r>
              <w:rPr>
                <w:rFonts w:cs="Calibri Light"/>
                <w:sz w:val="22"/>
              </w:rPr>
              <w:t>Cel szczegółowy 3.</w:t>
            </w:r>
            <w:r>
              <w:rPr>
                <w:rFonts w:cs="Calibri Light"/>
                <w:sz w:val="22"/>
              </w:rPr>
              <w:br/>
            </w:r>
            <w:r w:rsidR="00932F38" w:rsidRPr="00BB139A">
              <w:rPr>
                <w:rFonts w:cs="Calibri Light"/>
                <w:sz w:val="22"/>
              </w:rPr>
              <w:t>Poprawa stabilności finansowej organizacji obywatelskich</w:t>
            </w:r>
          </w:p>
        </w:tc>
        <w:tc>
          <w:tcPr>
            <w:tcW w:w="5451" w:type="dxa"/>
            <w:shd w:val="clear" w:color="auto" w:fill="FFE599" w:themeFill="accent4" w:themeFillTint="66"/>
            <w:vAlign w:val="center"/>
          </w:tcPr>
          <w:p w14:paraId="679E7EA4" w14:textId="5E5A955C" w:rsidR="00932F38" w:rsidRPr="00BB139A" w:rsidRDefault="00E95396" w:rsidP="002D06B1">
            <w:pPr>
              <w:tabs>
                <w:tab w:val="left" w:pos="1097"/>
              </w:tabs>
              <w:spacing w:after="0" w:line="240" w:lineRule="auto"/>
              <w:jc w:val="left"/>
              <w:rPr>
                <w:rFonts w:cs="Calibri Light"/>
                <w:sz w:val="22"/>
              </w:rPr>
            </w:pPr>
            <w:r>
              <w:rPr>
                <w:rFonts w:cs="Calibri Light"/>
                <w:sz w:val="22"/>
              </w:rPr>
              <w:t>Priorytet 1.</w:t>
            </w:r>
            <w:r w:rsidR="00932F38" w:rsidRPr="00BB139A">
              <w:rPr>
                <w:rFonts w:cs="Calibri Light"/>
                <w:sz w:val="22"/>
              </w:rPr>
              <w:t xml:space="preserve"> </w:t>
            </w:r>
            <w:r w:rsidR="00932F38">
              <w:rPr>
                <w:rFonts w:cs="Calibri Light"/>
                <w:sz w:val="22"/>
              </w:rPr>
              <w:tab/>
            </w:r>
            <w:r w:rsidR="00932F38" w:rsidRPr="00BB139A">
              <w:rPr>
                <w:rFonts w:cs="Calibri Light"/>
                <w:sz w:val="22"/>
              </w:rPr>
              <w:t>Zrównoważony rozwój organizacyjny</w:t>
            </w:r>
          </w:p>
        </w:tc>
        <w:tc>
          <w:tcPr>
            <w:tcW w:w="5345" w:type="dxa"/>
            <w:vMerge w:val="restart"/>
            <w:shd w:val="clear" w:color="auto" w:fill="FFF2CC" w:themeFill="accent4" w:themeFillTint="33"/>
            <w:vAlign w:val="center"/>
          </w:tcPr>
          <w:p w14:paraId="466D55A9" w14:textId="260589B6" w:rsidR="00932F38" w:rsidRPr="00BB139A" w:rsidRDefault="00932F38" w:rsidP="00932F38">
            <w:pPr>
              <w:pStyle w:val="Akapitzlist"/>
              <w:numPr>
                <w:ilvl w:val="0"/>
                <w:numId w:val="23"/>
              </w:numPr>
              <w:spacing w:after="0" w:line="240" w:lineRule="auto"/>
              <w:jc w:val="left"/>
              <w:rPr>
                <w:rFonts w:cs="Calibri Light"/>
                <w:color w:val="000000"/>
                <w:sz w:val="22"/>
              </w:rPr>
            </w:pPr>
            <w:r>
              <w:rPr>
                <w:rFonts w:cs="Calibri Light"/>
                <w:color w:val="000000"/>
                <w:sz w:val="22"/>
              </w:rPr>
              <w:t xml:space="preserve">Odsetek </w:t>
            </w:r>
            <w:r w:rsidRPr="00BB139A">
              <w:rPr>
                <w:rFonts w:cs="Calibri Light"/>
                <w:color w:val="000000"/>
                <w:sz w:val="22"/>
              </w:rPr>
              <w:t>organizacji non-profit współpracujących z</w:t>
            </w:r>
            <w:r w:rsidR="00BA0105">
              <w:rPr>
                <w:rFonts w:cs="Calibri Light"/>
                <w:color w:val="000000"/>
                <w:sz w:val="22"/>
              </w:rPr>
              <w:t> </w:t>
            </w:r>
            <w:r w:rsidRPr="00BB139A">
              <w:rPr>
                <w:rFonts w:cs="Calibri Light"/>
                <w:color w:val="000000"/>
                <w:sz w:val="22"/>
              </w:rPr>
              <w:t>przedsiębiorstwami</w:t>
            </w:r>
          </w:p>
          <w:p w14:paraId="34B42F1D" w14:textId="3F0A41F8" w:rsidR="00BA0105" w:rsidRDefault="00932F38" w:rsidP="00BA0105">
            <w:pPr>
              <w:pStyle w:val="Akapitzlist"/>
              <w:numPr>
                <w:ilvl w:val="0"/>
                <w:numId w:val="23"/>
              </w:numPr>
              <w:spacing w:after="0" w:line="240" w:lineRule="auto"/>
              <w:jc w:val="left"/>
              <w:rPr>
                <w:rFonts w:cs="Calibri Light"/>
                <w:color w:val="000000"/>
                <w:sz w:val="22"/>
              </w:rPr>
            </w:pPr>
            <w:r>
              <w:rPr>
                <w:rFonts w:cs="Calibri Light"/>
                <w:color w:val="000000"/>
                <w:sz w:val="22"/>
              </w:rPr>
              <w:t>Przychody pochodzące z odsetek</w:t>
            </w:r>
            <w:r w:rsidRPr="00BB139A">
              <w:rPr>
                <w:rFonts w:cs="Calibri Light"/>
                <w:color w:val="000000"/>
                <w:sz w:val="22"/>
              </w:rPr>
              <w:t xml:space="preserve"> i dywidend jako %</w:t>
            </w:r>
            <w:r w:rsidR="00BA0105">
              <w:rPr>
                <w:rFonts w:cs="Calibri Light"/>
                <w:color w:val="000000"/>
                <w:sz w:val="22"/>
              </w:rPr>
              <w:t> </w:t>
            </w:r>
            <w:r w:rsidRPr="00BB139A">
              <w:rPr>
                <w:rFonts w:cs="Calibri Light"/>
                <w:color w:val="000000"/>
                <w:sz w:val="22"/>
              </w:rPr>
              <w:t xml:space="preserve">przychodów </w:t>
            </w:r>
            <w:r>
              <w:rPr>
                <w:rFonts w:cs="Calibri Light"/>
                <w:color w:val="000000"/>
                <w:sz w:val="22"/>
              </w:rPr>
              <w:t xml:space="preserve">organizacji </w:t>
            </w:r>
            <w:r w:rsidRPr="00BB139A">
              <w:rPr>
                <w:rFonts w:cs="Calibri Light"/>
                <w:color w:val="000000"/>
                <w:sz w:val="22"/>
              </w:rPr>
              <w:t>ogółem</w:t>
            </w:r>
          </w:p>
          <w:p w14:paraId="100FF2EC" w14:textId="60C751E1" w:rsidR="00932F38" w:rsidRPr="00BB139A" w:rsidRDefault="00932F38" w:rsidP="00BA0105">
            <w:pPr>
              <w:pStyle w:val="Akapitzlist"/>
              <w:numPr>
                <w:ilvl w:val="0"/>
                <w:numId w:val="23"/>
              </w:numPr>
              <w:spacing w:after="0" w:line="240" w:lineRule="auto"/>
              <w:jc w:val="left"/>
              <w:rPr>
                <w:rFonts w:cs="Calibri Light"/>
                <w:color w:val="000000"/>
                <w:sz w:val="22"/>
              </w:rPr>
            </w:pPr>
            <w:r>
              <w:rPr>
                <w:rFonts w:eastAsia="Times New Roman" w:cs="Calibri Light"/>
                <w:sz w:val="22"/>
              </w:rPr>
              <w:t>O</w:t>
            </w:r>
            <w:r w:rsidRPr="00BB139A">
              <w:rPr>
                <w:rFonts w:eastAsia="Times New Roman" w:cs="Calibri Light"/>
                <w:sz w:val="22"/>
              </w:rPr>
              <w:t>dsetek organizacji, które wskazują trudności w</w:t>
            </w:r>
            <w:r w:rsidR="00BA0105">
              <w:rPr>
                <w:rFonts w:eastAsia="Times New Roman" w:cs="Calibri Light"/>
                <w:sz w:val="22"/>
              </w:rPr>
              <w:t> </w:t>
            </w:r>
            <w:r w:rsidRPr="00BB139A">
              <w:rPr>
                <w:rFonts w:cs="Calibri Light"/>
                <w:sz w:val="22"/>
              </w:rPr>
              <w:t>pozyskiwaniu środków finansowych jako bariera w</w:t>
            </w:r>
            <w:r w:rsidR="00BA0105">
              <w:rPr>
                <w:rFonts w:cs="Calibri Light"/>
                <w:sz w:val="22"/>
              </w:rPr>
              <w:t> </w:t>
            </w:r>
            <w:r w:rsidRPr="00BB139A">
              <w:rPr>
                <w:rFonts w:cs="Calibri Light"/>
                <w:sz w:val="22"/>
              </w:rPr>
              <w:t>działalności</w:t>
            </w:r>
          </w:p>
        </w:tc>
      </w:tr>
      <w:tr w:rsidR="00932F38" w:rsidRPr="00BB139A" w14:paraId="3880CAC8" w14:textId="77777777" w:rsidTr="00C6387A">
        <w:trPr>
          <w:trHeight w:val="680"/>
        </w:trPr>
        <w:tc>
          <w:tcPr>
            <w:tcW w:w="3186" w:type="dxa"/>
            <w:vMerge/>
            <w:shd w:val="clear" w:color="auto" w:fill="FFD966" w:themeFill="accent4" w:themeFillTint="99"/>
          </w:tcPr>
          <w:p w14:paraId="0F318D6E" w14:textId="77777777" w:rsidR="00932F38" w:rsidRPr="00BB139A" w:rsidRDefault="00932F38" w:rsidP="002D06B1">
            <w:pPr>
              <w:spacing w:after="0" w:line="240" w:lineRule="auto"/>
              <w:jc w:val="left"/>
              <w:rPr>
                <w:rFonts w:cs="Calibri Light"/>
                <w:sz w:val="22"/>
              </w:rPr>
            </w:pPr>
          </w:p>
        </w:tc>
        <w:tc>
          <w:tcPr>
            <w:tcW w:w="5451" w:type="dxa"/>
            <w:shd w:val="clear" w:color="auto" w:fill="FFE599" w:themeFill="accent4" w:themeFillTint="66"/>
            <w:vAlign w:val="center"/>
          </w:tcPr>
          <w:p w14:paraId="7B0B6716" w14:textId="1025F9D3" w:rsidR="00932F38" w:rsidRPr="00BB139A" w:rsidRDefault="00E95396" w:rsidP="002D06B1">
            <w:pPr>
              <w:tabs>
                <w:tab w:val="left" w:pos="1097"/>
              </w:tabs>
              <w:spacing w:after="0" w:line="240" w:lineRule="auto"/>
              <w:jc w:val="left"/>
              <w:rPr>
                <w:rFonts w:cs="Calibri Light"/>
                <w:sz w:val="22"/>
              </w:rPr>
            </w:pPr>
            <w:r>
              <w:rPr>
                <w:rFonts w:cs="Calibri Light"/>
                <w:sz w:val="22"/>
              </w:rPr>
              <w:t>Priorytet 2.</w:t>
            </w:r>
            <w:r w:rsidR="00932F38" w:rsidRPr="00BB139A">
              <w:rPr>
                <w:rFonts w:cs="Calibri Light"/>
                <w:sz w:val="22"/>
              </w:rPr>
              <w:t xml:space="preserve"> </w:t>
            </w:r>
            <w:r w:rsidR="00932F38">
              <w:rPr>
                <w:rFonts w:cs="Calibri Light"/>
                <w:sz w:val="22"/>
              </w:rPr>
              <w:tab/>
            </w:r>
            <w:r w:rsidR="00932F38" w:rsidRPr="00BB139A">
              <w:rPr>
                <w:rFonts w:cs="Calibri Light"/>
                <w:sz w:val="22"/>
              </w:rPr>
              <w:t>Kapitały żelazne</w:t>
            </w:r>
          </w:p>
        </w:tc>
        <w:tc>
          <w:tcPr>
            <w:tcW w:w="5345" w:type="dxa"/>
            <w:vMerge/>
            <w:shd w:val="clear" w:color="auto" w:fill="FFF2CC" w:themeFill="accent4" w:themeFillTint="33"/>
          </w:tcPr>
          <w:p w14:paraId="7F7EA4AF" w14:textId="77777777" w:rsidR="00932F38" w:rsidRPr="00BB139A" w:rsidRDefault="00932F38" w:rsidP="002D06B1">
            <w:pPr>
              <w:spacing w:after="0" w:line="240" w:lineRule="auto"/>
              <w:jc w:val="left"/>
              <w:rPr>
                <w:rFonts w:cs="Calibri Light"/>
                <w:color w:val="000000"/>
                <w:sz w:val="22"/>
              </w:rPr>
            </w:pPr>
          </w:p>
        </w:tc>
      </w:tr>
      <w:tr w:rsidR="00932F38" w:rsidRPr="00BB139A" w14:paraId="52D208AE" w14:textId="77777777" w:rsidTr="00C6387A">
        <w:trPr>
          <w:trHeight w:val="680"/>
        </w:trPr>
        <w:tc>
          <w:tcPr>
            <w:tcW w:w="3186" w:type="dxa"/>
            <w:vMerge/>
            <w:shd w:val="clear" w:color="auto" w:fill="FFD966" w:themeFill="accent4" w:themeFillTint="99"/>
          </w:tcPr>
          <w:p w14:paraId="3FF02237" w14:textId="77777777" w:rsidR="00932F38" w:rsidRPr="00BB139A" w:rsidRDefault="00932F38" w:rsidP="002D06B1">
            <w:pPr>
              <w:spacing w:after="0" w:line="240" w:lineRule="auto"/>
              <w:jc w:val="left"/>
              <w:rPr>
                <w:rFonts w:cs="Calibri Light"/>
                <w:sz w:val="22"/>
              </w:rPr>
            </w:pPr>
          </w:p>
        </w:tc>
        <w:tc>
          <w:tcPr>
            <w:tcW w:w="5451" w:type="dxa"/>
            <w:shd w:val="clear" w:color="auto" w:fill="FFE599" w:themeFill="accent4" w:themeFillTint="66"/>
            <w:vAlign w:val="center"/>
          </w:tcPr>
          <w:p w14:paraId="7A5D5D5C" w14:textId="4B6353BC" w:rsidR="00932F38" w:rsidRPr="00BB139A" w:rsidRDefault="00932F38" w:rsidP="00AE692C">
            <w:pPr>
              <w:tabs>
                <w:tab w:val="left" w:pos="1097"/>
              </w:tabs>
              <w:spacing w:after="0" w:line="240" w:lineRule="auto"/>
              <w:jc w:val="left"/>
              <w:rPr>
                <w:rFonts w:cs="Calibri Light"/>
                <w:sz w:val="22"/>
              </w:rPr>
            </w:pPr>
            <w:r w:rsidRPr="00BB139A">
              <w:rPr>
                <w:rFonts w:cs="Calibri Light"/>
                <w:sz w:val="22"/>
              </w:rPr>
              <w:t xml:space="preserve">Priorytet 5. </w:t>
            </w:r>
            <w:r>
              <w:rPr>
                <w:rFonts w:cs="Calibri Light"/>
                <w:sz w:val="22"/>
              </w:rPr>
              <w:tab/>
            </w:r>
            <w:r w:rsidR="00AE692C">
              <w:rPr>
                <w:rFonts w:cs="Calibri Light"/>
                <w:sz w:val="22"/>
              </w:rPr>
              <w:t>Wsparcie doraźne</w:t>
            </w:r>
          </w:p>
        </w:tc>
        <w:tc>
          <w:tcPr>
            <w:tcW w:w="5345" w:type="dxa"/>
            <w:vMerge/>
            <w:shd w:val="clear" w:color="auto" w:fill="FFF2CC" w:themeFill="accent4" w:themeFillTint="33"/>
          </w:tcPr>
          <w:p w14:paraId="6AD39A44" w14:textId="77777777" w:rsidR="00932F38" w:rsidRPr="00BB139A" w:rsidRDefault="00932F38" w:rsidP="002D06B1">
            <w:pPr>
              <w:spacing w:after="0" w:line="240" w:lineRule="auto"/>
              <w:jc w:val="left"/>
              <w:rPr>
                <w:rFonts w:cs="Calibri Light"/>
                <w:sz w:val="22"/>
              </w:rPr>
            </w:pPr>
          </w:p>
        </w:tc>
      </w:tr>
    </w:tbl>
    <w:p w14:paraId="19819A0E" w14:textId="77777777" w:rsidR="005555F8" w:rsidRDefault="005555F8" w:rsidP="00932F38">
      <w:pPr>
        <w:spacing w:after="0"/>
        <w:sectPr w:rsidR="005555F8" w:rsidSect="00515170">
          <w:pgSz w:w="16838" w:h="11906" w:orient="landscape"/>
          <w:pgMar w:top="1418" w:right="1418" w:bottom="1418" w:left="1418" w:header="709" w:footer="709" w:gutter="0"/>
          <w:cols w:space="708"/>
          <w:docGrid w:linePitch="360"/>
        </w:sectPr>
      </w:pPr>
    </w:p>
    <w:p w14:paraId="4F6D572B" w14:textId="7A869EA8" w:rsidR="00932F38" w:rsidRDefault="00932F38" w:rsidP="00932F38">
      <w:pPr>
        <w:spacing w:after="0"/>
      </w:pPr>
      <w:r>
        <w:lastRenderedPageBreak/>
        <w:t>Logika interwencji – poziom produktowy</w:t>
      </w:r>
    </w:p>
    <w:tbl>
      <w:tblPr>
        <w:tblStyle w:val="Tabela-Siatka"/>
        <w:tblW w:w="892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Look w:val="04A0" w:firstRow="1" w:lastRow="0" w:firstColumn="1" w:lastColumn="0" w:noHBand="0" w:noVBand="1"/>
      </w:tblPr>
      <w:tblGrid>
        <w:gridCol w:w="4101"/>
        <w:gridCol w:w="4820"/>
      </w:tblGrid>
      <w:tr w:rsidR="00932F38" w:rsidRPr="00BB139A" w14:paraId="080A03E8" w14:textId="77777777" w:rsidTr="005555F8">
        <w:tc>
          <w:tcPr>
            <w:tcW w:w="4101" w:type="dxa"/>
            <w:shd w:val="clear" w:color="auto" w:fill="EDEDED" w:themeFill="accent3" w:themeFillTint="33"/>
          </w:tcPr>
          <w:p w14:paraId="30B5ED0E" w14:textId="77777777" w:rsidR="00932F38" w:rsidRPr="00BB139A" w:rsidRDefault="00932F38" w:rsidP="002D06B1">
            <w:pPr>
              <w:spacing w:after="0" w:line="240" w:lineRule="auto"/>
              <w:jc w:val="left"/>
              <w:rPr>
                <w:rFonts w:cs="Calibri Light"/>
                <w:sz w:val="22"/>
              </w:rPr>
            </w:pPr>
          </w:p>
        </w:tc>
        <w:tc>
          <w:tcPr>
            <w:tcW w:w="4820" w:type="dxa"/>
            <w:shd w:val="clear" w:color="auto" w:fill="EDEDED" w:themeFill="accent3" w:themeFillTint="33"/>
          </w:tcPr>
          <w:p w14:paraId="4E540328" w14:textId="77777777" w:rsidR="00932F38" w:rsidRPr="00BB139A" w:rsidRDefault="00932F38" w:rsidP="002D06B1">
            <w:pPr>
              <w:spacing w:after="0" w:line="240" w:lineRule="auto"/>
              <w:jc w:val="left"/>
              <w:rPr>
                <w:rFonts w:cs="Calibri Light"/>
                <w:sz w:val="22"/>
              </w:rPr>
            </w:pPr>
            <w:r w:rsidRPr="00BB139A">
              <w:rPr>
                <w:rFonts w:cs="Calibri Light"/>
                <w:sz w:val="22"/>
              </w:rPr>
              <w:t>Wskaźnik</w:t>
            </w:r>
          </w:p>
        </w:tc>
      </w:tr>
      <w:tr w:rsidR="005555F8" w:rsidRPr="00BB139A" w14:paraId="6CD3487C" w14:textId="77777777" w:rsidTr="005555F8">
        <w:trPr>
          <w:trHeight w:val="964"/>
        </w:trPr>
        <w:tc>
          <w:tcPr>
            <w:tcW w:w="4101" w:type="dxa"/>
            <w:shd w:val="clear" w:color="auto" w:fill="ACB9CA" w:themeFill="text2" w:themeFillTint="66"/>
            <w:vAlign w:val="center"/>
          </w:tcPr>
          <w:p w14:paraId="03447DC1" w14:textId="5DB94D35" w:rsidR="005555F8" w:rsidRPr="00BB139A" w:rsidRDefault="005555F8" w:rsidP="00DA5719">
            <w:pPr>
              <w:spacing w:after="0" w:line="240" w:lineRule="auto"/>
              <w:jc w:val="left"/>
              <w:rPr>
                <w:rFonts w:cs="Calibri Light"/>
                <w:sz w:val="22"/>
              </w:rPr>
            </w:pPr>
            <w:r w:rsidRPr="00BB139A">
              <w:rPr>
                <w:rFonts w:cs="Calibri Light"/>
                <w:sz w:val="22"/>
              </w:rPr>
              <w:t>Priorytet 1a</w:t>
            </w:r>
          </w:p>
          <w:p w14:paraId="7598F781" w14:textId="21DA54DD" w:rsidR="005555F8" w:rsidRPr="00BB139A" w:rsidRDefault="005555F8" w:rsidP="00DA5719">
            <w:pPr>
              <w:spacing w:after="0" w:line="240" w:lineRule="auto"/>
              <w:jc w:val="left"/>
              <w:rPr>
                <w:rFonts w:cs="Calibri Light"/>
                <w:sz w:val="22"/>
              </w:rPr>
            </w:pPr>
            <w:r w:rsidRPr="003A68A1">
              <w:rPr>
                <w:rFonts w:cs="Calibri Light"/>
                <w:sz w:val="22"/>
              </w:rPr>
              <w:t>Wsparcie działań misyjnych i rozwoju instytucjonalnego</w:t>
            </w:r>
          </w:p>
        </w:tc>
        <w:tc>
          <w:tcPr>
            <w:tcW w:w="4820" w:type="dxa"/>
            <w:shd w:val="clear" w:color="auto" w:fill="D5DCE4" w:themeFill="text2" w:themeFillTint="33"/>
            <w:vAlign w:val="center"/>
          </w:tcPr>
          <w:p w14:paraId="085BF805" w14:textId="7C11436D" w:rsidR="005555F8" w:rsidRPr="00DA5719" w:rsidRDefault="005555F8" w:rsidP="00DA5719">
            <w:pPr>
              <w:spacing w:after="0" w:line="240" w:lineRule="auto"/>
              <w:jc w:val="left"/>
              <w:rPr>
                <w:rFonts w:eastAsia="Times New Roman" w:cs="Calibri Light"/>
                <w:sz w:val="22"/>
              </w:rPr>
            </w:pPr>
            <w:r w:rsidRPr="00DA5719">
              <w:rPr>
                <w:sz w:val="22"/>
              </w:rPr>
              <w:t xml:space="preserve">Liczba organizacji otrzymujących wsparcie </w:t>
            </w:r>
            <w:r w:rsidR="00D37852">
              <w:rPr>
                <w:sz w:val="22"/>
              </w:rPr>
              <w:br/>
            </w:r>
            <w:r w:rsidRPr="00DA5719">
              <w:rPr>
                <w:sz w:val="22"/>
              </w:rPr>
              <w:t>w zakresie działań misyjnych i rozwoju instytucjonalnego</w:t>
            </w:r>
          </w:p>
        </w:tc>
      </w:tr>
      <w:tr w:rsidR="005555F8" w:rsidRPr="00BB139A" w14:paraId="2F463579" w14:textId="77777777" w:rsidTr="005555F8">
        <w:trPr>
          <w:trHeight w:val="964"/>
        </w:trPr>
        <w:tc>
          <w:tcPr>
            <w:tcW w:w="4101" w:type="dxa"/>
            <w:shd w:val="clear" w:color="auto" w:fill="ACB9CA" w:themeFill="text2" w:themeFillTint="66"/>
            <w:vAlign w:val="center"/>
          </w:tcPr>
          <w:p w14:paraId="0090A92C" w14:textId="13553964" w:rsidR="005555F8" w:rsidRPr="00BB139A" w:rsidRDefault="005555F8" w:rsidP="00DA5719">
            <w:pPr>
              <w:spacing w:after="0" w:line="240" w:lineRule="auto"/>
              <w:jc w:val="left"/>
              <w:rPr>
                <w:rFonts w:cs="Calibri Light"/>
                <w:sz w:val="22"/>
              </w:rPr>
            </w:pPr>
            <w:r w:rsidRPr="00BB139A">
              <w:rPr>
                <w:rFonts w:cs="Calibri Light"/>
                <w:sz w:val="22"/>
              </w:rPr>
              <w:t>Priorytet 1b</w:t>
            </w:r>
          </w:p>
          <w:p w14:paraId="48B6B4A8" w14:textId="77777777" w:rsidR="005555F8" w:rsidRPr="00BB139A" w:rsidRDefault="005555F8" w:rsidP="00DA5719">
            <w:pPr>
              <w:spacing w:after="0" w:line="240" w:lineRule="auto"/>
              <w:jc w:val="left"/>
              <w:rPr>
                <w:rFonts w:cs="Calibri Light"/>
                <w:sz w:val="22"/>
              </w:rPr>
            </w:pPr>
            <w:r w:rsidRPr="00BB139A">
              <w:rPr>
                <w:rFonts w:cs="Calibri Light"/>
                <w:sz w:val="22"/>
              </w:rPr>
              <w:t>Dotacje na wkład własny</w:t>
            </w:r>
          </w:p>
        </w:tc>
        <w:tc>
          <w:tcPr>
            <w:tcW w:w="4820" w:type="dxa"/>
            <w:shd w:val="clear" w:color="auto" w:fill="D5DCE4" w:themeFill="text2" w:themeFillTint="33"/>
            <w:vAlign w:val="center"/>
          </w:tcPr>
          <w:p w14:paraId="243D694D" w14:textId="64CCBE0F" w:rsidR="005555F8" w:rsidRPr="00DA5719" w:rsidRDefault="005555F8" w:rsidP="00DA5719">
            <w:pPr>
              <w:spacing w:after="0" w:line="240" w:lineRule="auto"/>
              <w:jc w:val="left"/>
              <w:rPr>
                <w:rFonts w:cs="Calibri Light"/>
                <w:sz w:val="22"/>
              </w:rPr>
            </w:pPr>
            <w:r w:rsidRPr="00DA5719">
              <w:rPr>
                <w:sz w:val="22"/>
              </w:rPr>
              <w:t xml:space="preserve">Liczba organizacji otrzymujących dotacje </w:t>
            </w:r>
            <w:r w:rsidR="00D37852">
              <w:rPr>
                <w:sz w:val="22"/>
              </w:rPr>
              <w:br/>
            </w:r>
            <w:r w:rsidRPr="00DA5719">
              <w:rPr>
                <w:sz w:val="22"/>
              </w:rPr>
              <w:t>na pokrycie wkładu własnego w ramach projektów współfinansowanych z innych źródeł</w:t>
            </w:r>
          </w:p>
        </w:tc>
      </w:tr>
      <w:tr w:rsidR="005555F8" w:rsidRPr="00BB139A" w14:paraId="54926AF2" w14:textId="77777777" w:rsidTr="005555F8">
        <w:trPr>
          <w:trHeight w:val="964"/>
        </w:trPr>
        <w:tc>
          <w:tcPr>
            <w:tcW w:w="4101" w:type="dxa"/>
            <w:shd w:val="clear" w:color="auto" w:fill="ACB9CA" w:themeFill="text2" w:themeFillTint="66"/>
            <w:vAlign w:val="center"/>
          </w:tcPr>
          <w:p w14:paraId="337E3EF8" w14:textId="77777777" w:rsidR="005555F8" w:rsidRPr="00BB139A" w:rsidRDefault="005555F8" w:rsidP="00DA5719">
            <w:pPr>
              <w:spacing w:after="0" w:line="240" w:lineRule="auto"/>
              <w:jc w:val="left"/>
              <w:rPr>
                <w:rFonts w:cs="Calibri Light"/>
                <w:sz w:val="22"/>
              </w:rPr>
            </w:pPr>
            <w:r w:rsidRPr="00BB139A">
              <w:rPr>
                <w:rFonts w:cs="Calibri Light"/>
                <w:sz w:val="22"/>
              </w:rPr>
              <w:t>Priorytet 2a</w:t>
            </w:r>
          </w:p>
          <w:p w14:paraId="0D428C09" w14:textId="77777777" w:rsidR="005555F8" w:rsidRPr="00BB139A" w:rsidRDefault="005555F8" w:rsidP="00DA5719">
            <w:pPr>
              <w:spacing w:after="0" w:line="240" w:lineRule="auto"/>
              <w:jc w:val="left"/>
              <w:rPr>
                <w:rFonts w:cs="Calibri Light"/>
                <w:sz w:val="22"/>
              </w:rPr>
            </w:pPr>
            <w:r w:rsidRPr="00BB139A">
              <w:rPr>
                <w:rFonts w:cs="Calibri Light"/>
                <w:sz w:val="22"/>
              </w:rPr>
              <w:t>Dotacje operacyjne na wsparcie budowania początkowych kapitałów żelaznych</w:t>
            </w:r>
          </w:p>
        </w:tc>
        <w:tc>
          <w:tcPr>
            <w:tcW w:w="4820" w:type="dxa"/>
            <w:shd w:val="clear" w:color="auto" w:fill="D5DCE4" w:themeFill="text2" w:themeFillTint="33"/>
            <w:vAlign w:val="center"/>
          </w:tcPr>
          <w:p w14:paraId="4D02E3E0" w14:textId="512EC2A7" w:rsidR="005555F8" w:rsidRPr="00DA5719" w:rsidRDefault="005555F8" w:rsidP="00DA5719">
            <w:pPr>
              <w:spacing w:after="0" w:line="240" w:lineRule="auto"/>
              <w:jc w:val="left"/>
              <w:rPr>
                <w:rFonts w:cs="Calibri Light"/>
                <w:sz w:val="22"/>
              </w:rPr>
            </w:pPr>
            <w:r w:rsidRPr="00DA5719">
              <w:rPr>
                <w:sz w:val="22"/>
              </w:rPr>
              <w:t xml:space="preserve">Liczba organizacji realizujących działania </w:t>
            </w:r>
            <w:r w:rsidR="00D37852">
              <w:rPr>
                <w:sz w:val="22"/>
              </w:rPr>
              <w:br/>
            </w:r>
            <w:r w:rsidRPr="00DA5719">
              <w:rPr>
                <w:sz w:val="22"/>
              </w:rPr>
              <w:t>na rzecz utworzenia kapitału żelaznego</w:t>
            </w:r>
          </w:p>
        </w:tc>
      </w:tr>
      <w:tr w:rsidR="005555F8" w:rsidRPr="00BB139A" w14:paraId="6D097C52" w14:textId="77777777" w:rsidTr="005555F8">
        <w:trPr>
          <w:trHeight w:val="964"/>
        </w:trPr>
        <w:tc>
          <w:tcPr>
            <w:tcW w:w="4101" w:type="dxa"/>
            <w:shd w:val="clear" w:color="auto" w:fill="ACB9CA" w:themeFill="text2" w:themeFillTint="66"/>
            <w:vAlign w:val="center"/>
          </w:tcPr>
          <w:p w14:paraId="101DA228" w14:textId="77777777" w:rsidR="005555F8" w:rsidRPr="00BB139A" w:rsidRDefault="005555F8" w:rsidP="00DA5719">
            <w:pPr>
              <w:spacing w:after="0" w:line="240" w:lineRule="auto"/>
              <w:jc w:val="left"/>
              <w:rPr>
                <w:rFonts w:cs="Calibri Light"/>
                <w:sz w:val="22"/>
              </w:rPr>
            </w:pPr>
            <w:r w:rsidRPr="00BB139A">
              <w:rPr>
                <w:rFonts w:cs="Calibri Light"/>
                <w:sz w:val="22"/>
              </w:rPr>
              <w:t>Priorytet 2b</w:t>
            </w:r>
          </w:p>
          <w:p w14:paraId="5BE293A6" w14:textId="77777777" w:rsidR="005555F8" w:rsidRPr="00BB139A" w:rsidRDefault="005555F8" w:rsidP="00DA5719">
            <w:pPr>
              <w:spacing w:after="0" w:line="240" w:lineRule="auto"/>
              <w:jc w:val="left"/>
              <w:rPr>
                <w:rFonts w:cs="Calibri Light"/>
                <w:sz w:val="22"/>
              </w:rPr>
            </w:pPr>
            <w:r w:rsidRPr="00BB139A">
              <w:rPr>
                <w:rFonts w:eastAsia="Calibri" w:cs="Calibri Light"/>
                <w:sz w:val="22"/>
                <w:lang w:eastAsia="pl-PL"/>
              </w:rPr>
              <w:t>Dofinansowanie początkowych kapitałów żelaznych</w:t>
            </w:r>
          </w:p>
        </w:tc>
        <w:tc>
          <w:tcPr>
            <w:tcW w:w="4820" w:type="dxa"/>
            <w:shd w:val="clear" w:color="auto" w:fill="D5DCE4" w:themeFill="text2" w:themeFillTint="33"/>
            <w:vAlign w:val="center"/>
          </w:tcPr>
          <w:p w14:paraId="1E472D36" w14:textId="19EA7D04" w:rsidR="005555F8" w:rsidRPr="00DA5719" w:rsidRDefault="005555F8" w:rsidP="00DA5719">
            <w:pPr>
              <w:spacing w:after="0" w:line="240" w:lineRule="auto"/>
              <w:jc w:val="left"/>
              <w:rPr>
                <w:rFonts w:cs="Calibri Light"/>
                <w:sz w:val="22"/>
              </w:rPr>
            </w:pPr>
            <w:r w:rsidRPr="00DA5719">
              <w:rPr>
                <w:sz w:val="22"/>
              </w:rPr>
              <w:t xml:space="preserve">Liczba organizacji otrzymujących dofinansowanie </w:t>
            </w:r>
            <w:r w:rsidR="00D37852">
              <w:rPr>
                <w:sz w:val="22"/>
              </w:rPr>
              <w:br/>
            </w:r>
            <w:r w:rsidRPr="00DA5719">
              <w:rPr>
                <w:sz w:val="22"/>
              </w:rPr>
              <w:t>na utworzenie kapitału żelaznego</w:t>
            </w:r>
          </w:p>
        </w:tc>
      </w:tr>
      <w:tr w:rsidR="005555F8" w:rsidRPr="00BB139A" w14:paraId="00A86145" w14:textId="77777777" w:rsidTr="005555F8">
        <w:trPr>
          <w:trHeight w:val="964"/>
        </w:trPr>
        <w:tc>
          <w:tcPr>
            <w:tcW w:w="4101" w:type="dxa"/>
            <w:shd w:val="clear" w:color="auto" w:fill="ACB9CA" w:themeFill="text2" w:themeFillTint="66"/>
            <w:vAlign w:val="center"/>
          </w:tcPr>
          <w:p w14:paraId="1FF339F8" w14:textId="77777777" w:rsidR="005555F8" w:rsidRPr="00BB139A" w:rsidRDefault="005555F8" w:rsidP="00DA5719">
            <w:pPr>
              <w:spacing w:after="0" w:line="240" w:lineRule="auto"/>
              <w:jc w:val="left"/>
              <w:rPr>
                <w:rFonts w:cs="Calibri Light"/>
                <w:sz w:val="22"/>
              </w:rPr>
            </w:pPr>
            <w:r w:rsidRPr="00BB139A">
              <w:rPr>
                <w:rFonts w:cs="Calibri Light"/>
                <w:sz w:val="22"/>
              </w:rPr>
              <w:t>Priorytet 2c</w:t>
            </w:r>
          </w:p>
          <w:p w14:paraId="5103B363" w14:textId="77777777" w:rsidR="005555F8" w:rsidRPr="00BB139A" w:rsidRDefault="005555F8" w:rsidP="00DA5719">
            <w:pPr>
              <w:spacing w:after="0" w:line="240" w:lineRule="auto"/>
              <w:jc w:val="left"/>
              <w:rPr>
                <w:rFonts w:cs="Calibri Light"/>
                <w:sz w:val="22"/>
              </w:rPr>
            </w:pPr>
            <w:r w:rsidRPr="00BB139A">
              <w:rPr>
                <w:rFonts w:eastAsia="Calibri" w:cs="Calibri Light"/>
                <w:sz w:val="22"/>
                <w:lang w:eastAsia="pl-PL"/>
              </w:rPr>
              <w:t>Dofinansowanie rozbudowy kapitałów żelaznych</w:t>
            </w:r>
          </w:p>
        </w:tc>
        <w:tc>
          <w:tcPr>
            <w:tcW w:w="4820" w:type="dxa"/>
            <w:shd w:val="clear" w:color="auto" w:fill="D5DCE4" w:themeFill="text2" w:themeFillTint="33"/>
            <w:vAlign w:val="center"/>
          </w:tcPr>
          <w:p w14:paraId="1605C412" w14:textId="72C2B9D8" w:rsidR="005555F8" w:rsidRPr="00DA5719" w:rsidRDefault="005555F8" w:rsidP="00DA5719">
            <w:pPr>
              <w:spacing w:after="0" w:line="240" w:lineRule="auto"/>
              <w:jc w:val="left"/>
              <w:rPr>
                <w:rFonts w:cs="Calibri Light"/>
                <w:sz w:val="22"/>
              </w:rPr>
            </w:pPr>
            <w:r w:rsidRPr="00DA5719">
              <w:rPr>
                <w:sz w:val="22"/>
              </w:rPr>
              <w:t>Liczba organizacji, których kapitał żelazny został dokapitalizowany</w:t>
            </w:r>
          </w:p>
        </w:tc>
      </w:tr>
      <w:tr w:rsidR="005555F8" w:rsidRPr="00BB139A" w14:paraId="2BFF45C8" w14:textId="77777777" w:rsidTr="005555F8">
        <w:trPr>
          <w:trHeight w:val="964"/>
        </w:trPr>
        <w:tc>
          <w:tcPr>
            <w:tcW w:w="4101" w:type="dxa"/>
            <w:shd w:val="clear" w:color="auto" w:fill="ACB9CA" w:themeFill="text2" w:themeFillTint="66"/>
            <w:vAlign w:val="center"/>
          </w:tcPr>
          <w:p w14:paraId="56A831A9" w14:textId="77777777" w:rsidR="005555F8" w:rsidRPr="00BB139A" w:rsidRDefault="005555F8" w:rsidP="00DA5719">
            <w:pPr>
              <w:spacing w:after="0" w:line="240" w:lineRule="auto"/>
              <w:jc w:val="left"/>
              <w:rPr>
                <w:rFonts w:cs="Calibri Light"/>
                <w:sz w:val="22"/>
              </w:rPr>
            </w:pPr>
            <w:r w:rsidRPr="00BB139A">
              <w:rPr>
                <w:rFonts w:cs="Calibri Light"/>
                <w:sz w:val="22"/>
              </w:rPr>
              <w:t>Priorytet 3</w:t>
            </w:r>
          </w:p>
          <w:p w14:paraId="0D8616F0" w14:textId="77777777" w:rsidR="005555F8" w:rsidRPr="00BB139A" w:rsidRDefault="005555F8" w:rsidP="00DA5719">
            <w:pPr>
              <w:spacing w:after="0" w:line="240" w:lineRule="auto"/>
              <w:jc w:val="left"/>
              <w:rPr>
                <w:rFonts w:cs="Calibri Light"/>
                <w:sz w:val="22"/>
              </w:rPr>
            </w:pPr>
            <w:r w:rsidRPr="00BB139A">
              <w:rPr>
                <w:rFonts w:cs="Calibri Light"/>
                <w:sz w:val="22"/>
              </w:rPr>
              <w:t>Rozwój instytucjonalny organizacji strażniczych i mediów obywatelskich</w:t>
            </w:r>
          </w:p>
        </w:tc>
        <w:tc>
          <w:tcPr>
            <w:tcW w:w="4820" w:type="dxa"/>
            <w:shd w:val="clear" w:color="auto" w:fill="D5DCE4" w:themeFill="text2" w:themeFillTint="33"/>
            <w:vAlign w:val="center"/>
          </w:tcPr>
          <w:p w14:paraId="6C2A9B66" w14:textId="180E81B0" w:rsidR="005555F8" w:rsidRPr="00DA5719" w:rsidRDefault="005555F8" w:rsidP="00DA5719">
            <w:pPr>
              <w:spacing w:after="0" w:line="240" w:lineRule="auto"/>
              <w:jc w:val="left"/>
              <w:rPr>
                <w:rFonts w:eastAsia="Times New Roman" w:cs="Calibri Light"/>
                <w:sz w:val="22"/>
              </w:rPr>
            </w:pPr>
            <w:r w:rsidRPr="00DA5719">
              <w:rPr>
                <w:sz w:val="22"/>
              </w:rPr>
              <w:t>Liczba lokalnych organizacji strażniczych i mediów obywatelskich otrzymujących wsparcie</w:t>
            </w:r>
          </w:p>
        </w:tc>
      </w:tr>
      <w:tr w:rsidR="005555F8" w:rsidRPr="00BB139A" w14:paraId="435296C2" w14:textId="77777777" w:rsidTr="005555F8">
        <w:trPr>
          <w:trHeight w:val="964"/>
        </w:trPr>
        <w:tc>
          <w:tcPr>
            <w:tcW w:w="4101" w:type="dxa"/>
            <w:shd w:val="clear" w:color="auto" w:fill="ACB9CA" w:themeFill="text2" w:themeFillTint="66"/>
            <w:vAlign w:val="center"/>
          </w:tcPr>
          <w:p w14:paraId="7B24C2E6" w14:textId="77777777" w:rsidR="005555F8" w:rsidRPr="00BB139A" w:rsidRDefault="005555F8" w:rsidP="00DA5719">
            <w:pPr>
              <w:spacing w:after="0" w:line="240" w:lineRule="auto"/>
              <w:jc w:val="left"/>
              <w:rPr>
                <w:rFonts w:cs="Calibri Light"/>
                <w:sz w:val="22"/>
              </w:rPr>
            </w:pPr>
            <w:r w:rsidRPr="00BB139A">
              <w:rPr>
                <w:rFonts w:cs="Calibri Light"/>
                <w:sz w:val="22"/>
              </w:rPr>
              <w:t>Priorytet 4</w:t>
            </w:r>
          </w:p>
          <w:p w14:paraId="4C55E911" w14:textId="77777777" w:rsidR="005555F8" w:rsidRPr="00BB139A" w:rsidRDefault="005555F8" w:rsidP="00DA5719">
            <w:pPr>
              <w:spacing w:after="0" w:line="240" w:lineRule="auto"/>
              <w:jc w:val="left"/>
              <w:rPr>
                <w:rFonts w:cs="Calibri Light"/>
                <w:sz w:val="22"/>
              </w:rPr>
            </w:pPr>
            <w:r w:rsidRPr="00BB139A">
              <w:rPr>
                <w:rFonts w:cs="Calibri Light"/>
                <w:sz w:val="22"/>
              </w:rPr>
              <w:t xml:space="preserve">Rozwój instytucjonalny </w:t>
            </w:r>
            <w:proofErr w:type="spellStart"/>
            <w:r w:rsidRPr="00BB139A">
              <w:rPr>
                <w:rFonts w:cs="Calibri Light"/>
                <w:sz w:val="22"/>
              </w:rPr>
              <w:t>think</w:t>
            </w:r>
            <w:proofErr w:type="spellEnd"/>
            <w:r w:rsidRPr="00BB139A">
              <w:rPr>
                <w:rFonts w:cs="Calibri Light"/>
                <w:sz w:val="22"/>
              </w:rPr>
              <w:t xml:space="preserve"> tanków obywatelskich</w:t>
            </w:r>
          </w:p>
        </w:tc>
        <w:tc>
          <w:tcPr>
            <w:tcW w:w="4820" w:type="dxa"/>
            <w:shd w:val="clear" w:color="auto" w:fill="D5DCE4" w:themeFill="text2" w:themeFillTint="33"/>
            <w:vAlign w:val="center"/>
          </w:tcPr>
          <w:p w14:paraId="16DB003A" w14:textId="209AD7D3" w:rsidR="005555F8" w:rsidRPr="00DA5719" w:rsidRDefault="005555F8" w:rsidP="00DA5719">
            <w:pPr>
              <w:spacing w:after="0" w:line="240" w:lineRule="auto"/>
              <w:jc w:val="left"/>
              <w:rPr>
                <w:rFonts w:eastAsia="Times New Roman" w:cs="Calibri Light"/>
                <w:sz w:val="22"/>
              </w:rPr>
            </w:pPr>
            <w:r w:rsidRPr="00DA5719">
              <w:rPr>
                <w:sz w:val="22"/>
              </w:rPr>
              <w:t xml:space="preserve">Liczba organizacji – </w:t>
            </w:r>
            <w:proofErr w:type="spellStart"/>
            <w:r w:rsidRPr="00DA5719">
              <w:rPr>
                <w:sz w:val="22"/>
              </w:rPr>
              <w:t>think</w:t>
            </w:r>
            <w:proofErr w:type="spellEnd"/>
            <w:r w:rsidRPr="00DA5719">
              <w:rPr>
                <w:sz w:val="22"/>
              </w:rPr>
              <w:t xml:space="preserve"> tanków obywatelskich otrzymujących wsparcie</w:t>
            </w:r>
          </w:p>
        </w:tc>
      </w:tr>
      <w:tr w:rsidR="005555F8" w:rsidRPr="00BB139A" w14:paraId="3F82CB8C" w14:textId="77777777" w:rsidTr="005555F8">
        <w:trPr>
          <w:trHeight w:val="964"/>
        </w:trPr>
        <w:tc>
          <w:tcPr>
            <w:tcW w:w="4101" w:type="dxa"/>
            <w:shd w:val="clear" w:color="auto" w:fill="ACB9CA" w:themeFill="text2" w:themeFillTint="66"/>
            <w:vAlign w:val="center"/>
          </w:tcPr>
          <w:p w14:paraId="526E757B" w14:textId="77777777" w:rsidR="005555F8" w:rsidRPr="00BB139A" w:rsidRDefault="005555F8" w:rsidP="00DA5719">
            <w:pPr>
              <w:spacing w:after="0" w:line="240" w:lineRule="auto"/>
              <w:jc w:val="left"/>
              <w:rPr>
                <w:rFonts w:cs="Calibri Light"/>
                <w:sz w:val="22"/>
              </w:rPr>
            </w:pPr>
            <w:r w:rsidRPr="00BB139A">
              <w:rPr>
                <w:rFonts w:cs="Calibri Light"/>
                <w:sz w:val="22"/>
              </w:rPr>
              <w:t>Priorytet 5</w:t>
            </w:r>
          </w:p>
          <w:p w14:paraId="729DC3D3" w14:textId="11CEE54B" w:rsidR="005555F8" w:rsidRPr="00BB139A" w:rsidRDefault="005555F8" w:rsidP="00DA5719">
            <w:pPr>
              <w:spacing w:after="0" w:line="240" w:lineRule="auto"/>
              <w:jc w:val="left"/>
              <w:rPr>
                <w:rFonts w:cs="Calibri Light"/>
                <w:sz w:val="22"/>
              </w:rPr>
            </w:pPr>
            <w:r>
              <w:rPr>
                <w:rFonts w:cs="Calibri Light"/>
                <w:sz w:val="22"/>
              </w:rPr>
              <w:t>Wsparcie doraźne</w:t>
            </w:r>
          </w:p>
        </w:tc>
        <w:tc>
          <w:tcPr>
            <w:tcW w:w="4820" w:type="dxa"/>
            <w:shd w:val="clear" w:color="auto" w:fill="D5DCE4" w:themeFill="text2" w:themeFillTint="33"/>
            <w:vAlign w:val="center"/>
          </w:tcPr>
          <w:p w14:paraId="296E752F" w14:textId="2EFB95B8" w:rsidR="005555F8" w:rsidRPr="00DA5719" w:rsidRDefault="005555F8" w:rsidP="00314520">
            <w:pPr>
              <w:spacing w:after="0" w:line="240" w:lineRule="auto"/>
              <w:jc w:val="left"/>
              <w:rPr>
                <w:rFonts w:eastAsia="Times New Roman" w:cs="Calibri Light"/>
                <w:sz w:val="22"/>
              </w:rPr>
            </w:pPr>
            <w:r w:rsidRPr="00DA5719">
              <w:rPr>
                <w:sz w:val="22"/>
              </w:rPr>
              <w:t xml:space="preserve">Liczba organizacji otrzymujących </w:t>
            </w:r>
            <w:r w:rsidR="00314520">
              <w:rPr>
                <w:sz w:val="22"/>
              </w:rPr>
              <w:t>wsparcie doraźne</w:t>
            </w:r>
          </w:p>
        </w:tc>
      </w:tr>
    </w:tbl>
    <w:p w14:paraId="5DCB16AA" w14:textId="77777777" w:rsidR="00932F38" w:rsidRDefault="00932F38">
      <w:pPr>
        <w:spacing w:after="160" w:line="259" w:lineRule="auto"/>
        <w:jc w:val="left"/>
      </w:pPr>
    </w:p>
    <w:bookmarkEnd w:id="75"/>
    <w:p w14:paraId="54A00F79" w14:textId="77777777" w:rsidR="00515170" w:rsidRDefault="00515170" w:rsidP="00B2612B">
      <w:pPr>
        <w:sectPr w:rsidR="00515170" w:rsidSect="005555F8">
          <w:pgSz w:w="11906" w:h="16838"/>
          <w:pgMar w:top="1418" w:right="1418" w:bottom="1418" w:left="1418" w:header="709" w:footer="709" w:gutter="0"/>
          <w:cols w:space="708"/>
          <w:docGrid w:linePitch="360"/>
        </w:sectPr>
      </w:pPr>
    </w:p>
    <w:p w14:paraId="13BD026B" w14:textId="7F3280D4" w:rsidR="00932F38" w:rsidRDefault="00975B7F" w:rsidP="00932F38">
      <w:pPr>
        <w:pStyle w:val="Nagwek1"/>
      </w:pPr>
      <w:bookmarkStart w:id="76" w:name="_Toc506902135"/>
      <w:bookmarkStart w:id="77" w:name="_Toc508718261"/>
      <w:bookmarkStart w:id="78" w:name="_Toc508718408"/>
      <w:bookmarkStart w:id="79" w:name="_Toc508718465"/>
      <w:bookmarkStart w:id="80" w:name="_Toc508718553"/>
      <w:bookmarkStart w:id="81" w:name="_Toc516642774"/>
      <w:r>
        <w:lastRenderedPageBreak/>
        <w:t>6</w:t>
      </w:r>
      <w:r w:rsidR="00932F38">
        <w:t xml:space="preserve">. </w:t>
      </w:r>
      <w:r w:rsidR="00932F38" w:rsidRPr="00432921">
        <w:t xml:space="preserve">System </w:t>
      </w:r>
      <w:r w:rsidR="00932F38">
        <w:t>realizacji Programu</w:t>
      </w:r>
      <w:bookmarkEnd w:id="76"/>
      <w:bookmarkEnd w:id="77"/>
      <w:bookmarkEnd w:id="78"/>
      <w:bookmarkEnd w:id="79"/>
      <w:bookmarkEnd w:id="80"/>
      <w:bookmarkEnd w:id="81"/>
    </w:p>
    <w:p w14:paraId="55127C91" w14:textId="32AD73FA" w:rsidR="00932F38" w:rsidRDefault="00932F38" w:rsidP="00932F38">
      <w:r>
        <w:t>System realizacji Programu został określony zgodnie z regulacjami zawartymi w ustawie</w:t>
      </w:r>
      <w:r w:rsidRPr="00F843D7">
        <w:t xml:space="preserve"> z dnia 19 listop</w:t>
      </w:r>
      <w:r>
        <w:t xml:space="preserve">ada 2009 r. o grach hazardowych, gdzie na mocy art. 88a utworzono Fundusz </w:t>
      </w:r>
      <w:r w:rsidRPr="00F843D7">
        <w:t>Wspierania Rozwoju Społeczeństwa Obywatelskiego</w:t>
      </w:r>
      <w:r>
        <w:t xml:space="preserve">, w ramach którego finansowany jest Program, a także przepisów </w:t>
      </w:r>
      <w:proofErr w:type="spellStart"/>
      <w:r w:rsidR="00761D24">
        <w:t>UoNIW</w:t>
      </w:r>
      <w:proofErr w:type="spellEnd"/>
      <w:r>
        <w:t xml:space="preserve">, która reguluje zasady </w:t>
      </w:r>
      <w:r w:rsidRPr="00F32E69">
        <w:t>zarządza</w:t>
      </w:r>
      <w:r>
        <w:t>nia</w:t>
      </w:r>
      <w:r w:rsidRPr="00F32E69">
        <w:t xml:space="preserve"> programami wspierania rozwoju społeczeństwa obywatelskiego</w:t>
      </w:r>
      <w:r>
        <w:t xml:space="preserve">. </w:t>
      </w:r>
      <w:r w:rsidR="005354A0">
        <w:t xml:space="preserve">System realizacji Programu respektuje także regulacje zawarte w </w:t>
      </w:r>
      <w:proofErr w:type="spellStart"/>
      <w:r w:rsidR="00761D24">
        <w:t>UoDPPi</w:t>
      </w:r>
      <w:r w:rsidR="003A7A8C">
        <w:t>W</w:t>
      </w:r>
      <w:proofErr w:type="spellEnd"/>
      <w:r w:rsidR="003A7A8C">
        <w:t>.</w:t>
      </w:r>
    </w:p>
    <w:p w14:paraId="41419B45" w14:textId="10973D72" w:rsidR="00932F38" w:rsidRPr="00432921" w:rsidRDefault="00975B7F" w:rsidP="00932F38">
      <w:pPr>
        <w:pStyle w:val="Nagwek2"/>
      </w:pPr>
      <w:bookmarkStart w:id="82" w:name="_Toc506902136"/>
      <w:bookmarkStart w:id="83" w:name="_Toc508718554"/>
      <w:r>
        <w:t>6</w:t>
      </w:r>
      <w:r w:rsidR="00932F38">
        <w:t xml:space="preserve">.1. </w:t>
      </w:r>
      <w:r w:rsidR="00932F38" w:rsidRPr="00432921">
        <w:t>Zarządza</w:t>
      </w:r>
      <w:bookmarkEnd w:id="82"/>
      <w:r w:rsidR="00932F38">
        <w:t>nie i koordynacja</w:t>
      </w:r>
      <w:bookmarkEnd w:id="83"/>
    </w:p>
    <w:p w14:paraId="0CEE82AE" w14:textId="6C10CB86" w:rsidR="00932F38" w:rsidRPr="00432921" w:rsidRDefault="00932F38" w:rsidP="00932F38">
      <w:r w:rsidRPr="00432921">
        <w:t xml:space="preserve">Instytucją Zarządzającą Programu jest </w:t>
      </w:r>
      <w:r w:rsidR="003A7A8C">
        <w:t>NIW–CRSO</w:t>
      </w:r>
      <w:r w:rsidRPr="00432921">
        <w:t xml:space="preserve">. Instytucja Zarządzająca realizuje Program zgodnie z zasadami pomocniczości, suwerenności stron, partnerstwa, efektywności, uczciwej konkurencji i jawności określonymi w art. 5 ust. 3 </w:t>
      </w:r>
      <w:proofErr w:type="spellStart"/>
      <w:r w:rsidR="00761D24">
        <w:t>UoDPPi</w:t>
      </w:r>
      <w:r w:rsidR="003A7A8C">
        <w:t>W</w:t>
      </w:r>
      <w:proofErr w:type="spellEnd"/>
      <w:r>
        <w:t>.</w:t>
      </w:r>
    </w:p>
    <w:p w14:paraId="3518142B" w14:textId="1F5E3C62" w:rsidR="00932F38" w:rsidRPr="00432921" w:rsidRDefault="00932F38" w:rsidP="00932F38">
      <w:pPr>
        <w:spacing w:after="0"/>
      </w:pPr>
      <w:r w:rsidRPr="00432921">
        <w:t xml:space="preserve">Do </w:t>
      </w:r>
      <w:r>
        <w:t>zadań Instytucji Zarządzające</w:t>
      </w:r>
      <w:r w:rsidR="001C21BA">
        <w:t>j należy realizacja celu</w:t>
      </w:r>
      <w:r w:rsidRPr="00432921">
        <w:t xml:space="preserve"> </w:t>
      </w:r>
      <w:r w:rsidR="001C21BA">
        <w:t xml:space="preserve">głównego oraz celów szczegółowych </w:t>
      </w:r>
      <w:r>
        <w:t xml:space="preserve">Programu poprzez wdrażanie procedur dotacyjnych w ramach poszczególnych priorytetów, </w:t>
      </w:r>
      <w:r w:rsidR="001C21BA">
        <w:br/>
      </w:r>
      <w:r w:rsidRPr="00432921">
        <w:t>w tym</w:t>
      </w:r>
      <w:r>
        <w:t xml:space="preserve"> w szczególności:</w:t>
      </w:r>
    </w:p>
    <w:p w14:paraId="77CA8FFB" w14:textId="7534FD1D" w:rsidR="00932F38" w:rsidRDefault="00C227CD" w:rsidP="003A68A1">
      <w:pPr>
        <w:pStyle w:val="Akapitzlist"/>
        <w:numPr>
          <w:ilvl w:val="0"/>
          <w:numId w:val="24"/>
        </w:numPr>
        <w:spacing w:after="120"/>
      </w:pPr>
      <w:r>
        <w:t>p</w:t>
      </w:r>
      <w:r w:rsidR="00932F38" w:rsidRPr="00432921">
        <w:t xml:space="preserve">rzygotowanie konkursów </w:t>
      </w:r>
      <w:r w:rsidR="00932F38">
        <w:t xml:space="preserve">grantowych </w:t>
      </w:r>
      <w:r w:rsidR="00932F38" w:rsidRPr="00432921">
        <w:t>w ramach Programu:</w:t>
      </w:r>
    </w:p>
    <w:p w14:paraId="310292A3" w14:textId="3BE8A95D" w:rsidR="00932F38" w:rsidRDefault="005E3550" w:rsidP="003A68A1">
      <w:pPr>
        <w:pStyle w:val="Akapitzlist"/>
        <w:numPr>
          <w:ilvl w:val="1"/>
          <w:numId w:val="24"/>
        </w:numPr>
        <w:spacing w:after="120"/>
      </w:pPr>
      <w:r>
        <w:t>o</w:t>
      </w:r>
      <w:r w:rsidR="00932F38">
        <w:t>pracowywanie</w:t>
      </w:r>
      <w:r w:rsidR="00932F38" w:rsidRPr="00432921">
        <w:t xml:space="preserve"> </w:t>
      </w:r>
      <w:r w:rsidR="00932F38">
        <w:t>regulaminów k</w:t>
      </w:r>
      <w:r w:rsidR="00932F38" w:rsidRPr="00432921">
        <w:t>onkursó</w:t>
      </w:r>
      <w:r w:rsidR="00932F38">
        <w:t>w</w:t>
      </w:r>
      <w:r w:rsidR="00932F38" w:rsidRPr="00432921">
        <w:t xml:space="preserve"> </w:t>
      </w:r>
      <w:r w:rsidR="00932F38">
        <w:t>regulujących</w:t>
      </w:r>
      <w:r w:rsidR="00932F38" w:rsidRPr="00432921">
        <w:t xml:space="preserve"> zasady przy</w:t>
      </w:r>
      <w:r w:rsidR="00932F38">
        <w:t>znawania dotacji oraz zawierających</w:t>
      </w:r>
      <w:r w:rsidR="00932F38" w:rsidRPr="00432921">
        <w:t xml:space="preserve"> kryter</w:t>
      </w:r>
      <w:r w:rsidR="00932F38">
        <w:t>ia i procedury wyboru organizacji uzyskujących wsparcie w ramach poszczególnych konkursów;</w:t>
      </w:r>
    </w:p>
    <w:p w14:paraId="4AC033D5" w14:textId="2B5156FE" w:rsidR="00932F38" w:rsidRDefault="005E3550" w:rsidP="003A68A1">
      <w:pPr>
        <w:pStyle w:val="Akapitzlist"/>
        <w:numPr>
          <w:ilvl w:val="1"/>
          <w:numId w:val="24"/>
        </w:numPr>
        <w:spacing w:after="120"/>
      </w:pPr>
      <w:r>
        <w:t>p</w:t>
      </w:r>
      <w:r w:rsidR="003A7A8C">
        <w:t>rzeprowadza</w:t>
      </w:r>
      <w:r w:rsidR="00932F38">
        <w:t>nie</w:t>
      </w:r>
      <w:r w:rsidR="00932F38" w:rsidRPr="00432921">
        <w:t xml:space="preserve"> konsultacji społecznych</w:t>
      </w:r>
      <w:r w:rsidR="00932F38">
        <w:t xml:space="preserve"> regulaminów konkursów</w:t>
      </w:r>
      <w:r w:rsidR="00932F38" w:rsidRPr="00432921">
        <w:t>;</w:t>
      </w:r>
    </w:p>
    <w:p w14:paraId="4A914A32" w14:textId="04AB2899" w:rsidR="00932F38" w:rsidRDefault="005E3550" w:rsidP="003A68A1">
      <w:pPr>
        <w:pStyle w:val="Akapitzlist"/>
        <w:numPr>
          <w:ilvl w:val="1"/>
          <w:numId w:val="24"/>
        </w:numPr>
        <w:spacing w:after="120"/>
      </w:pPr>
      <w:r>
        <w:t>o</w:t>
      </w:r>
      <w:r w:rsidR="003A7A8C">
        <w:t>kreśla</w:t>
      </w:r>
      <w:r w:rsidR="00932F38" w:rsidRPr="00432921">
        <w:t xml:space="preserve">nie kryteriów kwalifikowalności </w:t>
      </w:r>
      <w:r w:rsidR="00932F38">
        <w:t xml:space="preserve">beneficjentów, działań oraz wydatków </w:t>
      </w:r>
      <w:r w:rsidR="003A68A1">
        <w:br/>
      </w:r>
      <w:r w:rsidR="00932F38">
        <w:t>w ramach przyznawanych</w:t>
      </w:r>
      <w:r w:rsidR="00932F38" w:rsidRPr="00432921">
        <w:t xml:space="preserve"> dotacji;</w:t>
      </w:r>
    </w:p>
    <w:p w14:paraId="42D83582" w14:textId="69921113" w:rsidR="00932F38" w:rsidRDefault="005E3550" w:rsidP="003A68A1">
      <w:pPr>
        <w:pStyle w:val="Akapitzlist"/>
        <w:numPr>
          <w:ilvl w:val="1"/>
          <w:numId w:val="24"/>
        </w:numPr>
        <w:spacing w:after="120"/>
      </w:pPr>
      <w:r>
        <w:t>o</w:t>
      </w:r>
      <w:r w:rsidR="003A7A8C">
        <w:t>kreśla</w:t>
      </w:r>
      <w:r w:rsidR="00932F38" w:rsidRPr="00432921">
        <w:t xml:space="preserve">nie </w:t>
      </w:r>
      <w:r w:rsidR="00932F38">
        <w:t>zasad finansowania w ramach poszczególnych konkursów, w tym minimalnych i maksymalnych kwot</w:t>
      </w:r>
      <w:r w:rsidR="00932F38" w:rsidRPr="00432921">
        <w:t xml:space="preserve"> do</w:t>
      </w:r>
      <w:r w:rsidR="00932F38">
        <w:t>finansowania</w:t>
      </w:r>
      <w:r w:rsidR="00932F38" w:rsidRPr="00432921">
        <w:t xml:space="preserve">, o którą można się ubiegać w </w:t>
      </w:r>
      <w:r w:rsidR="00932F38">
        <w:t>konkursach, wymagań w zakresie wkładu własnego;</w:t>
      </w:r>
    </w:p>
    <w:p w14:paraId="7B8991CB" w14:textId="367C09EF" w:rsidR="00932F38" w:rsidRDefault="005E3550" w:rsidP="003A68A1">
      <w:pPr>
        <w:pStyle w:val="Akapitzlist"/>
        <w:numPr>
          <w:ilvl w:val="1"/>
          <w:numId w:val="24"/>
        </w:numPr>
        <w:spacing w:after="120"/>
      </w:pPr>
      <w:r>
        <w:t>p</w:t>
      </w:r>
      <w:r w:rsidR="003A7A8C">
        <w:t>rzygotowywa</w:t>
      </w:r>
      <w:r w:rsidR="00932F38" w:rsidRPr="00432921">
        <w:t xml:space="preserve">nie wzorów </w:t>
      </w:r>
      <w:r w:rsidR="00932F38">
        <w:t xml:space="preserve">umów oraz wzorów </w:t>
      </w:r>
      <w:r w:rsidR="00932F38" w:rsidRPr="00432921">
        <w:t>wniosków aplikacyjnych i innych dokumentów związanych z realizacją Programu;</w:t>
      </w:r>
    </w:p>
    <w:p w14:paraId="67AB0338" w14:textId="48750D24" w:rsidR="00932F38" w:rsidRDefault="003A7A8C" w:rsidP="003A68A1">
      <w:pPr>
        <w:pStyle w:val="Akapitzlist"/>
        <w:numPr>
          <w:ilvl w:val="1"/>
          <w:numId w:val="24"/>
        </w:numPr>
        <w:spacing w:after="120"/>
      </w:pPr>
      <w:r>
        <w:t xml:space="preserve">dokonywanie </w:t>
      </w:r>
      <w:r w:rsidR="005E3550">
        <w:t>w</w:t>
      </w:r>
      <w:r>
        <w:t>ybo</w:t>
      </w:r>
      <w:r w:rsidR="00932F38" w:rsidRPr="00432921">
        <w:t>r</w:t>
      </w:r>
      <w:r>
        <w:t>u</w:t>
      </w:r>
      <w:r w:rsidR="00932F38" w:rsidRPr="00432921">
        <w:t xml:space="preserve"> w procedurze konkursowej niezależnych ekspertów zewnętrznych, którym </w:t>
      </w:r>
      <w:r w:rsidR="00932F38">
        <w:t>powierzona zostanie ocena merytoryczna przedłożonych w ramach pos</w:t>
      </w:r>
      <w:r w:rsidR="005E3550">
        <w:t>zczególnych konkursów aplikacji,</w:t>
      </w:r>
    </w:p>
    <w:p w14:paraId="26A75988" w14:textId="463B8931" w:rsidR="00932F38" w:rsidRDefault="003A7A8C" w:rsidP="003A68A1">
      <w:pPr>
        <w:pStyle w:val="Akapitzlist"/>
        <w:numPr>
          <w:ilvl w:val="0"/>
          <w:numId w:val="24"/>
        </w:numPr>
        <w:spacing w:after="120"/>
      </w:pPr>
      <w:r>
        <w:lastRenderedPageBreak/>
        <w:t>dokonywanie wybo</w:t>
      </w:r>
      <w:r w:rsidRPr="00432921">
        <w:t>r</w:t>
      </w:r>
      <w:r>
        <w:t>u</w:t>
      </w:r>
      <w:r w:rsidR="008E74DB">
        <w:t xml:space="preserve"> podmiotów</w:t>
      </w:r>
      <w:r w:rsidR="00932F38">
        <w:t xml:space="preserve">, które </w:t>
      </w:r>
      <w:r w:rsidR="00932F38" w:rsidRPr="00432921">
        <w:t>w</w:t>
      </w:r>
      <w:r w:rsidR="00932F38">
        <w:t xml:space="preserve"> oparciu o ustalone w regulaminach konkursów </w:t>
      </w:r>
      <w:r w:rsidR="00932F38" w:rsidRPr="00432921">
        <w:t>procedury</w:t>
      </w:r>
      <w:r w:rsidR="00932F38">
        <w:t xml:space="preserve"> selekcji (</w:t>
      </w:r>
      <w:r w:rsidR="00932F38" w:rsidRPr="00432921">
        <w:t>przy</w:t>
      </w:r>
      <w:r w:rsidR="00932F38">
        <w:t xml:space="preserve"> udziale ekspertów zewnętrznych) </w:t>
      </w:r>
      <w:r w:rsidR="00932F38" w:rsidRPr="00432921">
        <w:t>otrzymają</w:t>
      </w:r>
      <w:r w:rsidR="00932F38">
        <w:t xml:space="preserve"> wsparcie w ramach Programu</w:t>
      </w:r>
      <w:r w:rsidR="005E3550">
        <w:t xml:space="preserve"> (wybór beneficjentów Programu),</w:t>
      </w:r>
    </w:p>
    <w:p w14:paraId="7D22763E" w14:textId="21E9A848" w:rsidR="00932F38" w:rsidRDefault="005E3550" w:rsidP="003A68A1">
      <w:pPr>
        <w:pStyle w:val="Akapitzlist"/>
        <w:numPr>
          <w:ilvl w:val="0"/>
          <w:numId w:val="24"/>
        </w:numPr>
        <w:spacing w:after="120"/>
      </w:pPr>
      <w:r>
        <w:t>z</w:t>
      </w:r>
      <w:r w:rsidR="00932F38" w:rsidRPr="00432921">
        <w:t>awieranie z beneficjentami umów o dofinansowanie</w:t>
      </w:r>
      <w:r>
        <w:t>,</w:t>
      </w:r>
    </w:p>
    <w:p w14:paraId="2E1F1F70" w14:textId="2A599898" w:rsidR="00932F38" w:rsidRDefault="005E3550" w:rsidP="003A68A1">
      <w:pPr>
        <w:pStyle w:val="Akapitzlist"/>
        <w:numPr>
          <w:ilvl w:val="0"/>
          <w:numId w:val="24"/>
        </w:numPr>
        <w:spacing w:after="120"/>
      </w:pPr>
      <w:r>
        <w:t>d</w:t>
      </w:r>
      <w:r w:rsidR="00932F38" w:rsidRPr="00432921">
        <w:t xml:space="preserve">okonywanie płatności ze środków Programu </w:t>
      </w:r>
      <w:r w:rsidR="00932F38">
        <w:t xml:space="preserve">na rzecz beneficjentów na podstawie umów </w:t>
      </w:r>
      <w:r w:rsidR="00932F38" w:rsidRPr="00432921">
        <w:t xml:space="preserve">o dofinansowanie i w </w:t>
      </w:r>
      <w:r w:rsidR="00932F38">
        <w:t xml:space="preserve">trybach </w:t>
      </w:r>
      <w:r w:rsidR="00932F38" w:rsidRPr="00432921">
        <w:t>o</w:t>
      </w:r>
      <w:r w:rsidR="00932F38">
        <w:t>kreś</w:t>
      </w:r>
      <w:r>
        <w:t>lonych w regulaminach konkursów,</w:t>
      </w:r>
    </w:p>
    <w:p w14:paraId="7B05C95A" w14:textId="0647DF40" w:rsidR="00932F38" w:rsidRDefault="005E3550" w:rsidP="003A68A1">
      <w:pPr>
        <w:pStyle w:val="Akapitzlist"/>
        <w:numPr>
          <w:ilvl w:val="0"/>
          <w:numId w:val="24"/>
        </w:numPr>
        <w:spacing w:after="120"/>
      </w:pPr>
      <w:r>
        <w:t>s</w:t>
      </w:r>
      <w:r w:rsidR="00932F38">
        <w:t>ystematyczne m</w:t>
      </w:r>
      <w:r w:rsidR="00932F38" w:rsidRPr="00432921">
        <w:t>onitorowanie stanu realizacji przez beneficjentów</w:t>
      </w:r>
      <w:r w:rsidR="00932F38">
        <w:t xml:space="preserve"> działań objęt</w:t>
      </w:r>
      <w:r>
        <w:t>ych wsparciem,</w:t>
      </w:r>
    </w:p>
    <w:p w14:paraId="280A6E58" w14:textId="7770B015" w:rsidR="00932F38" w:rsidRDefault="005E3550" w:rsidP="003A68A1">
      <w:pPr>
        <w:pStyle w:val="Akapitzlist"/>
        <w:numPr>
          <w:ilvl w:val="0"/>
          <w:numId w:val="24"/>
        </w:numPr>
        <w:spacing w:after="120"/>
      </w:pPr>
      <w:r>
        <w:t>w</w:t>
      </w:r>
      <w:r w:rsidR="00C227CD">
        <w:t>eryfikowanie</w:t>
      </w:r>
      <w:r w:rsidR="00932F38">
        <w:t xml:space="preserve"> </w:t>
      </w:r>
      <w:r w:rsidR="00932F38" w:rsidRPr="00432921">
        <w:t>sprawozdań końcowych z realizacji</w:t>
      </w:r>
      <w:r w:rsidR="00932F38">
        <w:t xml:space="preserve"> działań realizowanych przez beneficjentów przy wykorzystaniu </w:t>
      </w:r>
      <w:r>
        <w:t>środków pochodzących z Programu,</w:t>
      </w:r>
    </w:p>
    <w:p w14:paraId="3337E822" w14:textId="1C3A18C1" w:rsidR="00932F38" w:rsidRPr="00432921" w:rsidRDefault="005E3550" w:rsidP="003A68A1">
      <w:pPr>
        <w:pStyle w:val="Akapitzlist"/>
        <w:numPr>
          <w:ilvl w:val="0"/>
          <w:numId w:val="24"/>
        </w:numPr>
        <w:spacing w:after="120"/>
      </w:pPr>
      <w:r>
        <w:t>z</w:t>
      </w:r>
      <w:r w:rsidR="00932F38" w:rsidRPr="00432921">
        <w:t>arządzanie środkami finansowymi przeznaczonymi na realizację Prog</w:t>
      </w:r>
      <w:r w:rsidR="00932F38">
        <w:t xml:space="preserve">ramu w ramach dotacji przekazywanych </w:t>
      </w:r>
      <w:r w:rsidR="00932F38" w:rsidRPr="00432921">
        <w:t>Instytucji Zarządzającej przez</w:t>
      </w:r>
      <w:r>
        <w:t xml:space="preserve"> Prezesa Rady Ministrów,</w:t>
      </w:r>
    </w:p>
    <w:p w14:paraId="02D122BE" w14:textId="7C8A7351" w:rsidR="00932F38" w:rsidRDefault="005E3550" w:rsidP="003A68A1">
      <w:pPr>
        <w:pStyle w:val="Akapitzlist"/>
        <w:numPr>
          <w:ilvl w:val="0"/>
          <w:numId w:val="24"/>
        </w:numPr>
        <w:spacing w:after="120"/>
      </w:pPr>
      <w:r>
        <w:t>o</w:t>
      </w:r>
      <w:r w:rsidR="00932F38" w:rsidRPr="00432921">
        <w:t xml:space="preserve">dzyskiwanie </w:t>
      </w:r>
      <w:r w:rsidR="00932F38">
        <w:t xml:space="preserve">środków finansowych </w:t>
      </w:r>
      <w:r w:rsidR="00932F38" w:rsidRPr="00432921">
        <w:t>nienależnie wypłaconych beneficjentom</w:t>
      </w:r>
      <w:r w:rsidR="00932F38">
        <w:t>, środków finansowych wykorzystan</w:t>
      </w:r>
      <w:r>
        <w:t>ych niezgodnie z przeznaczeniem,</w:t>
      </w:r>
    </w:p>
    <w:p w14:paraId="2C2E83F4" w14:textId="7263EA11" w:rsidR="00932F38" w:rsidRDefault="005E3550" w:rsidP="003A68A1">
      <w:pPr>
        <w:pStyle w:val="Akapitzlist"/>
        <w:numPr>
          <w:ilvl w:val="0"/>
          <w:numId w:val="24"/>
        </w:numPr>
        <w:spacing w:after="120"/>
      </w:pPr>
      <w:r>
        <w:t>p</w:t>
      </w:r>
      <w:r w:rsidR="00932F38" w:rsidRPr="00432921">
        <w:t>rzygotowywanie cyklicznych sprawozdań z realizacji Programu do wiadomości</w:t>
      </w:r>
      <w:r w:rsidR="00932F38">
        <w:t xml:space="preserve"> Rady </w:t>
      </w:r>
      <w:r w:rsidR="003A7A8C">
        <w:t>NIW–CRSO</w:t>
      </w:r>
      <w:r w:rsidR="00214139">
        <w:t xml:space="preserve">, </w:t>
      </w:r>
      <w:r w:rsidR="00932F38" w:rsidRPr="00432921">
        <w:t>Przewodniczącego Komitet</w:t>
      </w:r>
      <w:r w:rsidR="00214139">
        <w:t>u oraz KSM,</w:t>
      </w:r>
    </w:p>
    <w:p w14:paraId="0F88F293" w14:textId="211A3F0D" w:rsidR="00932F38" w:rsidRDefault="005E3550" w:rsidP="003A68A1">
      <w:pPr>
        <w:pStyle w:val="Akapitzlist"/>
        <w:numPr>
          <w:ilvl w:val="0"/>
          <w:numId w:val="24"/>
        </w:numPr>
        <w:spacing w:after="120"/>
      </w:pPr>
      <w:r>
        <w:t>p</w:t>
      </w:r>
      <w:r w:rsidR="00932F38" w:rsidRPr="00432921">
        <w:t>r</w:t>
      </w:r>
      <w:r w:rsidR="00932F38">
        <w:t xml:space="preserve">owadzenie i koordynacja procesów wewnętrznej </w:t>
      </w:r>
      <w:r w:rsidR="00932F38" w:rsidRPr="00432921">
        <w:t>oceny</w:t>
      </w:r>
      <w:r>
        <w:t xml:space="preserve"> Programu,</w:t>
      </w:r>
    </w:p>
    <w:p w14:paraId="13CEAE19" w14:textId="4C1008D8" w:rsidR="00932F38" w:rsidRDefault="005E3550" w:rsidP="003A68A1">
      <w:pPr>
        <w:pStyle w:val="Akapitzlist"/>
        <w:numPr>
          <w:ilvl w:val="0"/>
          <w:numId w:val="24"/>
        </w:numPr>
        <w:spacing w:after="120"/>
      </w:pPr>
      <w:r>
        <w:t>p</w:t>
      </w:r>
      <w:r w:rsidR="00932F38" w:rsidRPr="00432921">
        <w:t>rzygotowywanie propozycji zmian w Programie wy</w:t>
      </w:r>
      <w:r w:rsidR="00932F38">
        <w:t xml:space="preserve">nikających </w:t>
      </w:r>
      <w:r w:rsidR="008E74DB">
        <w:t xml:space="preserve">z </w:t>
      </w:r>
      <w:r w:rsidR="00932F38">
        <w:t>oceny jego wdrażania;</w:t>
      </w:r>
    </w:p>
    <w:p w14:paraId="0A8954C2" w14:textId="6608CCB0" w:rsidR="001C21BA" w:rsidRDefault="005E3550" w:rsidP="003A68A1">
      <w:pPr>
        <w:pStyle w:val="Akapitzlist"/>
        <w:numPr>
          <w:ilvl w:val="0"/>
          <w:numId w:val="24"/>
        </w:numPr>
        <w:spacing w:after="120"/>
      </w:pPr>
      <w:r>
        <w:t>p</w:t>
      </w:r>
      <w:r w:rsidR="001C21BA">
        <w:t>rzygotowywanie rocznej aktualizacji p</w:t>
      </w:r>
      <w:r>
        <w:t>lanu finansowego Programu,</w:t>
      </w:r>
    </w:p>
    <w:p w14:paraId="7AF9AD80" w14:textId="55097655" w:rsidR="00932F38" w:rsidRDefault="005E3550" w:rsidP="003A68A1">
      <w:pPr>
        <w:pStyle w:val="Akapitzlist"/>
        <w:numPr>
          <w:ilvl w:val="0"/>
          <w:numId w:val="24"/>
        </w:numPr>
        <w:spacing w:after="120"/>
      </w:pPr>
      <w:r>
        <w:t>o</w:t>
      </w:r>
      <w:r w:rsidR="00932F38" w:rsidRPr="00432921">
        <w:t xml:space="preserve">pracowanie </w:t>
      </w:r>
      <w:r w:rsidR="00932F38">
        <w:t xml:space="preserve">i wdrożenie </w:t>
      </w:r>
      <w:r w:rsidR="00932F38" w:rsidRPr="00432921">
        <w:t xml:space="preserve">systemu kontroli </w:t>
      </w:r>
      <w:r w:rsidR="00932F38">
        <w:t xml:space="preserve">beneficjentów </w:t>
      </w:r>
      <w:r w:rsidR="00932F38" w:rsidRPr="00432921">
        <w:t>Programu</w:t>
      </w:r>
      <w:r w:rsidR="00932F38">
        <w:t xml:space="preserve"> w zakresie działań finansowanych lub współfi</w:t>
      </w:r>
      <w:r>
        <w:t>nansowanych ze środków Programu,</w:t>
      </w:r>
    </w:p>
    <w:p w14:paraId="5781FF16" w14:textId="4A521AA6" w:rsidR="00932F38" w:rsidRDefault="005E3550" w:rsidP="003A68A1">
      <w:pPr>
        <w:pStyle w:val="Akapitzlist"/>
        <w:numPr>
          <w:ilvl w:val="0"/>
          <w:numId w:val="24"/>
        </w:numPr>
        <w:spacing w:after="120"/>
      </w:pPr>
      <w:r>
        <w:t>o</w:t>
      </w:r>
      <w:r w:rsidR="00932F38" w:rsidRPr="00432921">
        <w:t xml:space="preserve">pracowanie </w:t>
      </w:r>
      <w:r w:rsidR="00932F38">
        <w:t>i wdrożenie planu k</w:t>
      </w:r>
      <w:r w:rsidR="00932F38" w:rsidRPr="00432921">
        <w:t xml:space="preserve">omunikacji </w:t>
      </w:r>
      <w:r>
        <w:t>Programu,</w:t>
      </w:r>
    </w:p>
    <w:p w14:paraId="3123C4F0" w14:textId="475B5031" w:rsidR="00932F38" w:rsidRDefault="005E3550" w:rsidP="003A68A1">
      <w:pPr>
        <w:pStyle w:val="Akapitzlist"/>
        <w:numPr>
          <w:ilvl w:val="0"/>
          <w:numId w:val="24"/>
        </w:numPr>
        <w:spacing w:after="120"/>
      </w:pPr>
      <w:r>
        <w:t>p</w:t>
      </w:r>
      <w:r w:rsidR="00932F38" w:rsidRPr="00432921">
        <w:t>rzygotowywanie raportów o nieprawidłowościach i przekazywanie</w:t>
      </w:r>
      <w:r>
        <w:t xml:space="preserve"> ich do uprawnionych instytucji,</w:t>
      </w:r>
    </w:p>
    <w:p w14:paraId="4446EBC7" w14:textId="58AE7278" w:rsidR="00932F38" w:rsidRDefault="005E3550" w:rsidP="003A68A1">
      <w:pPr>
        <w:pStyle w:val="Akapitzlist"/>
        <w:numPr>
          <w:ilvl w:val="0"/>
          <w:numId w:val="24"/>
        </w:numPr>
        <w:spacing w:after="120"/>
      </w:pPr>
      <w:r>
        <w:t>o</w:t>
      </w:r>
      <w:r w:rsidR="00932F38" w:rsidRPr="00432921">
        <w:t>pracowanie procedur archiwizacji dokumentacji związanej z wdrażaniem Programu</w:t>
      </w:r>
      <w:r>
        <w:t>,</w:t>
      </w:r>
    </w:p>
    <w:p w14:paraId="6FCFFACC" w14:textId="3E890B10" w:rsidR="00932F38" w:rsidRPr="00432921" w:rsidRDefault="005E3550" w:rsidP="003A68A1">
      <w:pPr>
        <w:pStyle w:val="Akapitzlist"/>
        <w:numPr>
          <w:ilvl w:val="0"/>
          <w:numId w:val="24"/>
        </w:numPr>
        <w:spacing w:after="120"/>
      </w:pPr>
      <w:r>
        <w:t>o</w:t>
      </w:r>
      <w:r w:rsidR="00932F38">
        <w:t>pracowanie innych procedur niezbędnych dla skutecznego wdrażania Programu oraz zintegrowanego zbioru procedur – stanowiącego komp</w:t>
      </w:r>
      <w:r w:rsidR="003A68A1">
        <w:t>letny system wdrażania Programu.</w:t>
      </w:r>
    </w:p>
    <w:p w14:paraId="18D54538" w14:textId="7AE2135E" w:rsidR="00932F38" w:rsidRDefault="00932F38" w:rsidP="00932F38">
      <w:r>
        <w:t>System wewnętrznego zarządzania Programem jest skoncentrowany w ramach jednego podmiotu – Instytucji Zarządzającej i jako taki jest koordynowany przez Dyrektora</w:t>
      </w:r>
      <w:r w:rsidR="001C21BA">
        <w:t xml:space="preserve"> </w:t>
      </w:r>
      <w:r w:rsidR="002248DD">
        <w:t>NIW–CRSO</w:t>
      </w:r>
      <w:r>
        <w:t>. Funkcje kontrolne i nadzorcze będą realizowane prz</w:t>
      </w:r>
      <w:r w:rsidR="002248DD">
        <w:t>ez Przewodniczącego Komitetu</w:t>
      </w:r>
      <w:r>
        <w:t xml:space="preserve">. Czynności </w:t>
      </w:r>
      <w:r>
        <w:lastRenderedPageBreak/>
        <w:t>związane ze sprawozdawczością na rzecz Przewodniczącego realizuje Dyrektor przy wykorzystaniu struktur Instytucji Zarządzającej.</w:t>
      </w:r>
    </w:p>
    <w:p w14:paraId="43976ED1" w14:textId="61E0C2DC" w:rsidR="00D57F2D" w:rsidRDefault="00834F5C" w:rsidP="00834F5C">
      <w:pPr>
        <w:spacing w:after="0"/>
      </w:pPr>
      <w:r>
        <w:t>Dla zapewniania efektywnej</w:t>
      </w:r>
      <w:r w:rsidR="00C6387A">
        <w:t xml:space="preserve"> koordynacji Programu </w:t>
      </w:r>
      <w:r w:rsidR="00D57F2D">
        <w:t>Przewodniczący Ko</w:t>
      </w:r>
      <w:r w:rsidR="00602D1D">
        <w:t>mitetu powoła Komitet Sterująco-</w:t>
      </w:r>
      <w:r w:rsidR="00D57F2D">
        <w:t>Monitorujący, w skład którego wejdą w połowie przedstaw</w:t>
      </w:r>
      <w:r>
        <w:t>iciele organów administracji publicznej</w:t>
      </w:r>
      <w:r w:rsidR="00D57F2D">
        <w:t xml:space="preserve"> oraz przedstawiciele organizacji </w:t>
      </w:r>
      <w:r>
        <w:t>obywatelskich</w:t>
      </w:r>
      <w:r w:rsidR="00D57F2D">
        <w:t xml:space="preserve"> wskazani przez Przewodniczącego Komitetu, na podstawie przedstawionych przez R</w:t>
      </w:r>
      <w:r w:rsidR="00602D1D">
        <w:t>adę NIW–</w:t>
      </w:r>
      <w:r w:rsidR="00D57F2D">
        <w:t xml:space="preserve">CRSO rekomendacji. Przewodniczącym KSM będzie przedstawiciel Przewodniczącego Komitetu. KSM rozpatruje wszelkie kwestie mogące mieć wpływ na wykonanie Programu. Do zadań KSM </w:t>
      </w:r>
      <w:r w:rsidR="00214139">
        <w:br/>
      </w:r>
      <w:r w:rsidR="00D57F2D">
        <w:t>w ramach systemu wdrażania Programu należy:</w:t>
      </w:r>
    </w:p>
    <w:p w14:paraId="23832151" w14:textId="77777777" w:rsidR="00D57F2D" w:rsidRDefault="00D57F2D" w:rsidP="00D57F2D">
      <w:pPr>
        <w:pStyle w:val="Akapitzlist"/>
        <w:numPr>
          <w:ilvl w:val="0"/>
          <w:numId w:val="34"/>
        </w:numPr>
        <w:spacing w:after="120"/>
      </w:pPr>
      <w:r>
        <w:t>opiniowanie zasad i warunków uzyskiwania dotacji,</w:t>
      </w:r>
    </w:p>
    <w:p w14:paraId="78A1EEA6" w14:textId="1639342C" w:rsidR="00D57F2D" w:rsidRDefault="00D57F2D" w:rsidP="00D57F2D">
      <w:pPr>
        <w:pStyle w:val="Akapitzlist"/>
        <w:numPr>
          <w:ilvl w:val="0"/>
          <w:numId w:val="34"/>
        </w:numPr>
        <w:spacing w:after="120"/>
      </w:pPr>
      <w:r>
        <w:t xml:space="preserve">okresowe kontrolowanie postępu w zakresie osiągania celów Programu, na podstawie informacji przedkładanych przez </w:t>
      </w:r>
      <w:r w:rsidR="00214139">
        <w:t>IZ</w:t>
      </w:r>
      <w:r>
        <w:t>,</w:t>
      </w:r>
    </w:p>
    <w:p w14:paraId="774D486B" w14:textId="77777777" w:rsidR="00D57F2D" w:rsidRDefault="00D57F2D" w:rsidP="00D57F2D">
      <w:pPr>
        <w:pStyle w:val="Akapitzlist"/>
        <w:numPr>
          <w:ilvl w:val="0"/>
          <w:numId w:val="34"/>
        </w:numPr>
        <w:spacing w:after="120"/>
      </w:pPr>
      <w:r>
        <w:t>analizowanie rezultatów realizacji Programu, przede wszystkim osiągania wyznaczonych celów oraz wyników ewaluacji związanych z monitorowaniem realizacji Programu, w szczególności w przypadku gdy monitoring wykazuje znaczące odstępstwa od początkowo określonych celów lub gdy zgłoszone są propozycje zmian w Programie,</w:t>
      </w:r>
    </w:p>
    <w:p w14:paraId="6AE02349" w14:textId="77777777" w:rsidR="00D57F2D" w:rsidRDefault="00D57F2D" w:rsidP="00D57F2D">
      <w:pPr>
        <w:pStyle w:val="Akapitzlist"/>
        <w:numPr>
          <w:ilvl w:val="0"/>
          <w:numId w:val="34"/>
        </w:numPr>
        <w:spacing w:after="120"/>
      </w:pPr>
      <w:r w:rsidRPr="00896887">
        <w:t xml:space="preserve">prezentowanie uwag dotyczących wdrażania i ewaluacji </w:t>
      </w:r>
      <w:r>
        <w:t>Programu</w:t>
      </w:r>
      <w:r w:rsidRPr="00896887">
        <w:t>, jak również monitorowanie działań podjętych w ich następstwie</w:t>
      </w:r>
      <w:r>
        <w:t>,</w:t>
      </w:r>
    </w:p>
    <w:p w14:paraId="33B68F72" w14:textId="77777777" w:rsidR="00D57F2D" w:rsidRDefault="00D57F2D" w:rsidP="00D57F2D">
      <w:pPr>
        <w:pStyle w:val="Akapitzlist"/>
        <w:numPr>
          <w:ilvl w:val="0"/>
          <w:numId w:val="34"/>
        </w:numPr>
        <w:spacing w:after="120"/>
      </w:pPr>
      <w:r>
        <w:t>analizowanie sprawozdań z realizacji Programu,</w:t>
      </w:r>
    </w:p>
    <w:p w14:paraId="7DA9DFDA" w14:textId="77777777" w:rsidR="00D57F2D" w:rsidRDefault="00D57F2D" w:rsidP="00D57F2D">
      <w:pPr>
        <w:pStyle w:val="Akapitzlist"/>
        <w:numPr>
          <w:ilvl w:val="0"/>
          <w:numId w:val="34"/>
        </w:numPr>
        <w:spacing w:after="120"/>
      </w:pPr>
      <w:r>
        <w:t>przedkładanie IZ propozycji zmian w Programie ułatwiających realizację jego celów,</w:t>
      </w:r>
    </w:p>
    <w:p w14:paraId="78FDAD6C" w14:textId="77777777" w:rsidR="00D57F2D" w:rsidRDefault="00D57F2D" w:rsidP="00D57F2D">
      <w:pPr>
        <w:pStyle w:val="Akapitzlist"/>
        <w:numPr>
          <w:ilvl w:val="0"/>
          <w:numId w:val="34"/>
        </w:numPr>
        <w:spacing w:after="120"/>
      </w:pPr>
      <w:r>
        <w:t>opiniowanie propozycji zmian w Programie przedkładanych przez IZ,</w:t>
      </w:r>
    </w:p>
    <w:p w14:paraId="36F2F28F" w14:textId="77777777" w:rsidR="00D57F2D" w:rsidRDefault="00D57F2D" w:rsidP="00D57F2D">
      <w:pPr>
        <w:pStyle w:val="Akapitzlist"/>
        <w:numPr>
          <w:ilvl w:val="0"/>
          <w:numId w:val="34"/>
        </w:numPr>
        <w:spacing w:after="120"/>
      </w:pPr>
      <w:r>
        <w:t>opiniowanie planu ewaluacji Programu,</w:t>
      </w:r>
    </w:p>
    <w:p w14:paraId="21502833" w14:textId="77777777" w:rsidR="00D57F2D" w:rsidRDefault="00D57F2D" w:rsidP="00D57F2D">
      <w:pPr>
        <w:pStyle w:val="Akapitzlist"/>
        <w:numPr>
          <w:ilvl w:val="0"/>
          <w:numId w:val="34"/>
        </w:numPr>
        <w:spacing w:after="120"/>
      </w:pPr>
      <w:r>
        <w:t>opiniowanie planu komunikacji Programu.</w:t>
      </w:r>
    </w:p>
    <w:p w14:paraId="1B22F49C" w14:textId="77777777" w:rsidR="00D57F2D" w:rsidRDefault="00D57F2D" w:rsidP="00D57F2D">
      <w:pPr>
        <w:spacing w:after="0"/>
      </w:pPr>
      <w:r>
        <w:t>Prace KSM prowadzone są w sposób jawny i przejrzysty. IZ podaje do publicznej wiadomości poprzez zamieszczenie na swojej stronie internetowej informacje dotyczące prac KSM, w tym w szczególności:</w:t>
      </w:r>
    </w:p>
    <w:p w14:paraId="270ED479" w14:textId="77777777" w:rsidR="00D57F2D" w:rsidRDefault="00D57F2D" w:rsidP="00D57F2D">
      <w:pPr>
        <w:pStyle w:val="Akapitzlist"/>
        <w:numPr>
          <w:ilvl w:val="0"/>
          <w:numId w:val="35"/>
        </w:numPr>
        <w:spacing w:after="120"/>
      </w:pPr>
      <w:r>
        <w:t>informację na temat składu KSM, wraz ze wskazaniem podmiotów, które dane osoby reprezentują,</w:t>
      </w:r>
    </w:p>
    <w:p w14:paraId="7EF9EA96" w14:textId="77777777" w:rsidR="00D57F2D" w:rsidRDefault="00D57F2D" w:rsidP="00D57F2D">
      <w:pPr>
        <w:pStyle w:val="Akapitzlist"/>
        <w:numPr>
          <w:ilvl w:val="0"/>
          <w:numId w:val="35"/>
        </w:numPr>
        <w:spacing w:after="120"/>
      </w:pPr>
      <w:r>
        <w:t>protokoły z posiedzeń KSM,</w:t>
      </w:r>
    </w:p>
    <w:p w14:paraId="4E0DEDFD" w14:textId="53DFCC05" w:rsidR="00C6387A" w:rsidRDefault="00D57F2D" w:rsidP="00D57F2D">
      <w:pPr>
        <w:pStyle w:val="Akapitzlist"/>
        <w:numPr>
          <w:ilvl w:val="0"/>
          <w:numId w:val="35"/>
        </w:numPr>
        <w:spacing w:after="120"/>
      </w:pPr>
      <w:r>
        <w:t>uchwały podejmowane przez KSM.</w:t>
      </w:r>
    </w:p>
    <w:p w14:paraId="48CD3868" w14:textId="5FDA2ED1" w:rsidR="00932F38" w:rsidRPr="00432921" w:rsidRDefault="00975B7F" w:rsidP="00932F38">
      <w:pPr>
        <w:pStyle w:val="Nagwek2"/>
      </w:pPr>
      <w:bookmarkStart w:id="84" w:name="_Toc506902137"/>
      <w:bookmarkStart w:id="85" w:name="_Toc508718555"/>
      <w:r>
        <w:lastRenderedPageBreak/>
        <w:t>6</w:t>
      </w:r>
      <w:r w:rsidR="00932F38">
        <w:t xml:space="preserve">.2. </w:t>
      </w:r>
      <w:r w:rsidR="00932F38" w:rsidRPr="00432921">
        <w:t>Monitor</w:t>
      </w:r>
      <w:bookmarkEnd w:id="84"/>
      <w:r w:rsidR="00932F38">
        <w:t>ing</w:t>
      </w:r>
      <w:bookmarkEnd w:id="85"/>
    </w:p>
    <w:p w14:paraId="164170A6" w14:textId="39612397" w:rsidR="002248DD" w:rsidRDefault="00932F38" w:rsidP="002248DD">
      <w:pPr>
        <w:spacing w:after="0"/>
      </w:pPr>
      <w:r w:rsidRPr="00432921">
        <w:t>Monitorowanie służy zapewnieniu odpowiedniej jakości wdrażania P</w:t>
      </w:r>
      <w:r w:rsidR="00392C0F">
        <w:t>ROO</w:t>
      </w:r>
      <w:r w:rsidRPr="00432921">
        <w:t>. Za monitorowanie Programu odpowiedzialna jest Instytucja Zarządzająca</w:t>
      </w:r>
      <w:r w:rsidR="00D57F2D">
        <w:t>, współdziałając w tym zakresie z KSM, zgodnie z zakresem zadań realizowanych przez KSM</w:t>
      </w:r>
      <w:r w:rsidRPr="00432921">
        <w:t xml:space="preserve">. </w:t>
      </w:r>
      <w:r>
        <w:t xml:space="preserve">Celem monitorowania będzie dostarczanie niezbędnych informacji do podejmowania decyzji, które pozwolą na efektywną </w:t>
      </w:r>
      <w:r w:rsidR="00D10C92">
        <w:t xml:space="preserve">realizację </w:t>
      </w:r>
      <w:r>
        <w:t xml:space="preserve">Programu. Monitoring będzie skoncentrowany na procesie wdrażania Programu, i jako taki będzie operacyjnie użyteczny, warunkując możliwość ewentualnych korekt w trakcie implementacji Programu oraz dokonywania systematycznych ocen w zakresie skuteczności prowadzonej interwencji publicznej. Monitoring Programu będzie polegał na zbieraniu, gromadzeniu i analizowaniu informacji i będzie obejmował poziomy: </w:t>
      </w:r>
    </w:p>
    <w:p w14:paraId="0D704036" w14:textId="77777777" w:rsidR="002248DD" w:rsidRDefault="00932F38" w:rsidP="002248DD">
      <w:pPr>
        <w:pStyle w:val="Akapitzlist"/>
        <w:numPr>
          <w:ilvl w:val="0"/>
          <w:numId w:val="30"/>
        </w:numPr>
      </w:pPr>
      <w:r>
        <w:t xml:space="preserve">wewnętrzny – realizacji Programu, </w:t>
      </w:r>
    </w:p>
    <w:p w14:paraId="46D19A05" w14:textId="2B8F7CB1" w:rsidR="002248DD" w:rsidRDefault="00932F38" w:rsidP="002248DD">
      <w:pPr>
        <w:pStyle w:val="Akapitzlist"/>
        <w:numPr>
          <w:ilvl w:val="0"/>
          <w:numId w:val="30"/>
        </w:numPr>
      </w:pPr>
      <w:r>
        <w:t>wdrażania (udziel</w:t>
      </w:r>
      <w:r w:rsidR="00D10C92">
        <w:t>o</w:t>
      </w:r>
      <w:r>
        <w:t>nych dotacji w ramach poszczególnych priorytetów)</w:t>
      </w:r>
      <w:r w:rsidR="002248DD">
        <w:t>,</w:t>
      </w:r>
    </w:p>
    <w:p w14:paraId="3325727D" w14:textId="77777777" w:rsidR="002248DD" w:rsidRDefault="00932F38" w:rsidP="002248DD">
      <w:pPr>
        <w:pStyle w:val="Akapitzlist"/>
        <w:numPr>
          <w:ilvl w:val="0"/>
          <w:numId w:val="30"/>
        </w:numPr>
      </w:pPr>
      <w:r>
        <w:t>zewnętrzny – w zakresie zmian w obszarach zdefiniowanych przez cele Programu.</w:t>
      </w:r>
      <w:r w:rsidRPr="00A86FF9">
        <w:t xml:space="preserve"> </w:t>
      </w:r>
    </w:p>
    <w:p w14:paraId="03F9B711" w14:textId="3FB4A8B3" w:rsidR="00932F38" w:rsidRPr="00432921" w:rsidRDefault="00932F38" w:rsidP="002248DD">
      <w:r w:rsidRPr="00432921">
        <w:t xml:space="preserve">Po zakończeniu realizacji </w:t>
      </w:r>
      <w:r>
        <w:t xml:space="preserve">działań w ramach dotacji przyznanej w ramach Programu </w:t>
      </w:r>
      <w:r w:rsidRPr="00432921">
        <w:t xml:space="preserve">każdy beneficjent </w:t>
      </w:r>
      <w:r>
        <w:t xml:space="preserve">będzie zobowiązany </w:t>
      </w:r>
      <w:r w:rsidR="002248DD">
        <w:t>do</w:t>
      </w:r>
      <w:r w:rsidRPr="00432921">
        <w:t xml:space="preserve"> wypełnienia ankiety monitorującej i przekazania jej do Instytucji Zarz</w:t>
      </w:r>
      <w:r>
        <w:t>ądzającej w sposób określony w r</w:t>
      </w:r>
      <w:r w:rsidRPr="00432921">
        <w:t>egulaminie konkursu</w:t>
      </w:r>
      <w:r>
        <w:t>, w ramach którego uzyskał wsparcie. Monitorowanie Programu będzie więc realizowane na podstawie danych przekazywanych przez beneficjentów, danych wewnętrznych gromadzonych przez Instytucję Zarządzającą (w tym danych kontekstowych) oraz danych pochodzących z badań społecznych realizowanych w obszarach interwencji. Monitorowaniu podlegać będą w szczególności wskaźniki określone w ramach Programu. Tak prowadzony monitoring będzie miał charakter zintegrowany. Zestaw</w:t>
      </w:r>
      <w:r w:rsidRPr="00432921">
        <w:t xml:space="preserve"> </w:t>
      </w:r>
      <w:r>
        <w:t xml:space="preserve">procedur i </w:t>
      </w:r>
      <w:r w:rsidRPr="00432921">
        <w:t>narzęd</w:t>
      </w:r>
      <w:r>
        <w:t xml:space="preserve">zi monitoringu Programu zostanie opracowany </w:t>
      </w:r>
      <w:r>
        <w:br/>
        <w:t>i wdrożony przez Instytucję Zarządzającą.</w:t>
      </w:r>
    </w:p>
    <w:p w14:paraId="1DF0AD04" w14:textId="03C329B4" w:rsidR="00932F38" w:rsidRPr="00432921" w:rsidRDefault="00975B7F" w:rsidP="00932F38">
      <w:pPr>
        <w:pStyle w:val="Nagwek2"/>
      </w:pPr>
      <w:bookmarkStart w:id="86" w:name="_Toc506902138"/>
      <w:bookmarkStart w:id="87" w:name="_Toc508718556"/>
      <w:r>
        <w:t>6</w:t>
      </w:r>
      <w:r w:rsidR="00932F38">
        <w:t xml:space="preserve">.3. </w:t>
      </w:r>
      <w:r w:rsidR="00932F38" w:rsidRPr="00432921">
        <w:t>Ewaluacja</w:t>
      </w:r>
      <w:bookmarkEnd w:id="86"/>
      <w:bookmarkEnd w:id="87"/>
    </w:p>
    <w:p w14:paraId="352A41E1" w14:textId="123BE42D" w:rsidR="00932F38" w:rsidRPr="00432921" w:rsidRDefault="00932F38" w:rsidP="00932F38">
      <w:pPr>
        <w:spacing w:after="0"/>
      </w:pPr>
      <w:r w:rsidRPr="00432921">
        <w:t xml:space="preserve">Ewaluacja Programu służy poprawie jakości, efektywności i spójności </w:t>
      </w:r>
      <w:r w:rsidR="002248DD" w:rsidRPr="00432921">
        <w:t xml:space="preserve">realizowanych </w:t>
      </w:r>
      <w:r w:rsidR="002248DD">
        <w:t>działań</w:t>
      </w:r>
      <w:r w:rsidRPr="00432921">
        <w:t>, przy uwzględnieniu zasady zrównoważonego rozwoju.</w:t>
      </w:r>
      <w:r>
        <w:t xml:space="preserve"> Instytucja Zarządzająca będzie prowadzić ewaluację Programu w trakcie jego trwania – w celu rozstrzygnięcia, czy jego realizacja prowadzi do osiągnięcia zdefiniowanych celów oraz czy jest zgodna z celami polityki państwa w zakresie wspierania rozwoju społeczeństwa obywatelskiego. Dodatkowo </w:t>
      </w:r>
      <w:r w:rsidR="00392C0F">
        <w:br/>
      </w:r>
      <w:r>
        <w:t xml:space="preserve">po zakończeniu </w:t>
      </w:r>
      <w:r w:rsidR="002248DD">
        <w:t>wdrażania</w:t>
      </w:r>
      <w:r>
        <w:t xml:space="preserve"> Programu zostanie przeprowadzana ewaluacja </w:t>
      </w:r>
      <w:r w:rsidRPr="00953442">
        <w:rPr>
          <w:i/>
        </w:rPr>
        <w:t>ex-post</w:t>
      </w:r>
      <w:r>
        <w:t xml:space="preserve"> obejmująca w szczególności ocenę stopnia osiągnięcia celów oraz ewentualnie określenia przyczyn ich </w:t>
      </w:r>
      <w:r>
        <w:lastRenderedPageBreak/>
        <w:t xml:space="preserve">nieosiągnięcia. Przeprowadzenie ewaluacji może zostać </w:t>
      </w:r>
      <w:r w:rsidR="00D10C92">
        <w:t xml:space="preserve">zlecone </w:t>
      </w:r>
      <w:r>
        <w:t xml:space="preserve">zewnętrznym podmiotom, wybranym w drodze otwartego konkursu. Odpowiadając za </w:t>
      </w:r>
      <w:r w:rsidRPr="00432921">
        <w:t>prowadzenie i koordynację procesu oceny Programu Instytucja Zarządzająca</w:t>
      </w:r>
      <w:r>
        <w:t xml:space="preserve"> będzie realizować w szczególności następujące zadania</w:t>
      </w:r>
      <w:r w:rsidRPr="00432921">
        <w:t>:</w:t>
      </w:r>
    </w:p>
    <w:p w14:paraId="312E1CE5" w14:textId="0DA58BBB" w:rsidR="00932F38" w:rsidRDefault="00932F38" w:rsidP="00932F38">
      <w:pPr>
        <w:numPr>
          <w:ilvl w:val="0"/>
          <w:numId w:val="26"/>
        </w:numPr>
        <w:spacing w:after="0"/>
        <w:jc w:val="left"/>
      </w:pPr>
      <w:r w:rsidRPr="00432921">
        <w:t xml:space="preserve">opracowanie </w:t>
      </w:r>
      <w:r>
        <w:t xml:space="preserve">szczegółowego </w:t>
      </w:r>
      <w:r w:rsidR="005E3550">
        <w:t>planu ewaluacji,</w:t>
      </w:r>
    </w:p>
    <w:p w14:paraId="511753F5" w14:textId="4A9A1FEF" w:rsidR="00932F38" w:rsidRPr="00432921" w:rsidRDefault="00932F38" w:rsidP="00932F38">
      <w:pPr>
        <w:numPr>
          <w:ilvl w:val="0"/>
          <w:numId w:val="26"/>
        </w:numPr>
        <w:spacing w:after="0"/>
        <w:jc w:val="left"/>
      </w:pPr>
      <w:r>
        <w:t xml:space="preserve">opracowanie założeń i zakresu poszczególnych badań ewaluacyjnych – w tym wybór </w:t>
      </w:r>
      <w:r>
        <w:br/>
        <w:t>i opr</w:t>
      </w:r>
      <w:r w:rsidR="005E3550">
        <w:t>acowanie narzędzi ewaluacyjnych,</w:t>
      </w:r>
    </w:p>
    <w:p w14:paraId="06FCC4E2" w14:textId="4E9B167F" w:rsidR="00932F38" w:rsidRDefault="00932F38" w:rsidP="00932F38">
      <w:pPr>
        <w:numPr>
          <w:ilvl w:val="0"/>
          <w:numId w:val="26"/>
        </w:numPr>
        <w:spacing w:after="0"/>
        <w:jc w:val="left"/>
      </w:pPr>
      <w:r>
        <w:t>samodzielną realizację lub zlecanie podmiotom zewnętrznym pos</w:t>
      </w:r>
      <w:r w:rsidR="005E3550">
        <w:t>zczególnych badań ewaluacyjnych,</w:t>
      </w:r>
    </w:p>
    <w:p w14:paraId="2A19D4A4" w14:textId="67F64B24" w:rsidR="00932F38" w:rsidRDefault="00932F38" w:rsidP="00932F38">
      <w:pPr>
        <w:numPr>
          <w:ilvl w:val="0"/>
          <w:numId w:val="26"/>
        </w:numPr>
        <w:spacing w:after="0"/>
        <w:jc w:val="left"/>
      </w:pPr>
      <w:r>
        <w:t>opracowanie lub zatwi</w:t>
      </w:r>
      <w:r w:rsidR="005E3550">
        <w:t>erdzenie raportów ewaluacyjnych,</w:t>
      </w:r>
    </w:p>
    <w:p w14:paraId="3BFF5672" w14:textId="77777777" w:rsidR="00932F38" w:rsidRDefault="00932F38" w:rsidP="00932F38">
      <w:pPr>
        <w:numPr>
          <w:ilvl w:val="0"/>
          <w:numId w:val="26"/>
        </w:numPr>
        <w:spacing w:after="0"/>
        <w:jc w:val="left"/>
      </w:pPr>
      <w:r>
        <w:t>wdrożenie wyników i rekomendacji do praktyki realizacji Programu lub w formie zmian w Programie.</w:t>
      </w:r>
    </w:p>
    <w:p w14:paraId="4DA4161A" w14:textId="77777777" w:rsidR="00932F38" w:rsidRDefault="00932F38" w:rsidP="00932F38">
      <w:pPr>
        <w:spacing w:after="0"/>
      </w:pPr>
      <w:r>
        <w:t>Harmonogram ewaluacji Programu obejmuje:</w:t>
      </w:r>
    </w:p>
    <w:p w14:paraId="2AF0B040" w14:textId="5C7199AA" w:rsidR="00932F38" w:rsidRDefault="005E3550" w:rsidP="00932F38">
      <w:pPr>
        <w:pStyle w:val="Akapitzlist"/>
        <w:numPr>
          <w:ilvl w:val="0"/>
          <w:numId w:val="25"/>
        </w:numPr>
        <w:spacing w:after="0"/>
      </w:pPr>
      <w:r>
        <w:t>e</w:t>
      </w:r>
      <w:r w:rsidR="00932F38">
        <w:t xml:space="preserve">waluację </w:t>
      </w:r>
      <w:r w:rsidR="00932F38" w:rsidRPr="00953442">
        <w:rPr>
          <w:i/>
        </w:rPr>
        <w:t>on-</w:t>
      </w:r>
      <w:proofErr w:type="spellStart"/>
      <w:r w:rsidR="00932F38" w:rsidRPr="00953442">
        <w:rPr>
          <w:i/>
        </w:rPr>
        <w:t>going</w:t>
      </w:r>
      <w:proofErr w:type="spellEnd"/>
      <w:r w:rsidR="00932F38">
        <w:t xml:space="preserve"> – w trybie dwuletnim:</w:t>
      </w:r>
    </w:p>
    <w:p w14:paraId="6EA641B1" w14:textId="40A00753" w:rsidR="00932F38" w:rsidRDefault="005E3550" w:rsidP="00932F38">
      <w:pPr>
        <w:pStyle w:val="Akapitzlist"/>
        <w:numPr>
          <w:ilvl w:val="1"/>
          <w:numId w:val="25"/>
        </w:numPr>
        <w:spacing w:after="0"/>
      </w:pPr>
      <w:r>
        <w:t>do 31 marca 2020 roku,</w:t>
      </w:r>
    </w:p>
    <w:p w14:paraId="7B331736" w14:textId="5C65A146" w:rsidR="00932F38" w:rsidRDefault="005E3550" w:rsidP="00932F38">
      <w:pPr>
        <w:pStyle w:val="Akapitzlist"/>
        <w:numPr>
          <w:ilvl w:val="1"/>
          <w:numId w:val="25"/>
        </w:numPr>
        <w:spacing w:after="0"/>
      </w:pPr>
      <w:r>
        <w:t>do 31 marca 2022 roku,</w:t>
      </w:r>
    </w:p>
    <w:p w14:paraId="720E72D1" w14:textId="0FCCF949" w:rsidR="00932F38" w:rsidRDefault="005E3550" w:rsidP="00932F38">
      <w:pPr>
        <w:pStyle w:val="Akapitzlist"/>
        <w:numPr>
          <w:ilvl w:val="1"/>
          <w:numId w:val="25"/>
        </w:numPr>
        <w:spacing w:after="0"/>
      </w:pPr>
      <w:r>
        <w:t>do 31 marca 2024 roku,</w:t>
      </w:r>
    </w:p>
    <w:p w14:paraId="4514EA0E" w14:textId="028C8D28" w:rsidR="001C21BA" w:rsidRDefault="005E3550" w:rsidP="00932F38">
      <w:pPr>
        <w:pStyle w:val="Akapitzlist"/>
        <w:numPr>
          <w:ilvl w:val="1"/>
          <w:numId w:val="25"/>
        </w:numPr>
        <w:spacing w:after="0"/>
      </w:pPr>
      <w:r>
        <w:t>do 31 marca 2026 roku,</w:t>
      </w:r>
    </w:p>
    <w:p w14:paraId="0E7F8CC5" w14:textId="6A269322" w:rsidR="001C21BA" w:rsidRDefault="005E3550" w:rsidP="00932F38">
      <w:pPr>
        <w:pStyle w:val="Akapitzlist"/>
        <w:numPr>
          <w:ilvl w:val="1"/>
          <w:numId w:val="25"/>
        </w:numPr>
        <w:spacing w:after="0"/>
      </w:pPr>
      <w:r>
        <w:t>do 31 marca 2028 roku,</w:t>
      </w:r>
    </w:p>
    <w:p w14:paraId="1A4B2248" w14:textId="2A23A8F6" w:rsidR="001C21BA" w:rsidRDefault="005E3550" w:rsidP="00932F38">
      <w:pPr>
        <w:pStyle w:val="Akapitzlist"/>
        <w:numPr>
          <w:ilvl w:val="1"/>
          <w:numId w:val="25"/>
        </w:numPr>
        <w:spacing w:after="0"/>
      </w:pPr>
      <w:r>
        <w:t>do 31 marca 2030 roku,</w:t>
      </w:r>
    </w:p>
    <w:p w14:paraId="2F57B40A" w14:textId="2B57C54E" w:rsidR="00932F38" w:rsidRDefault="005E3550" w:rsidP="00932F38">
      <w:pPr>
        <w:pStyle w:val="Akapitzlist"/>
        <w:numPr>
          <w:ilvl w:val="0"/>
          <w:numId w:val="25"/>
        </w:numPr>
        <w:spacing w:after="0"/>
      </w:pPr>
      <w:r>
        <w:t xml:space="preserve">ewaluację </w:t>
      </w:r>
      <w:r w:rsidRPr="00953442">
        <w:rPr>
          <w:i/>
        </w:rPr>
        <w:t>ex-post</w:t>
      </w:r>
      <w:r>
        <w:t xml:space="preserve"> – po</w:t>
      </w:r>
      <w:r w:rsidR="00932F38">
        <w:t xml:space="preserve"> zakończeniu okresu </w:t>
      </w:r>
      <w:r w:rsidR="002248DD">
        <w:t xml:space="preserve">wdrażania </w:t>
      </w:r>
      <w:r w:rsidR="001C21BA">
        <w:t>– do 31 maja 2031</w:t>
      </w:r>
      <w:r w:rsidR="002248DD">
        <w:t xml:space="preserve"> roku</w:t>
      </w:r>
      <w:r w:rsidR="00932F38">
        <w:t>.</w:t>
      </w:r>
    </w:p>
    <w:p w14:paraId="61391CAC" w14:textId="0EC642B4" w:rsidR="00113552" w:rsidRDefault="00113552" w:rsidP="00113552">
      <w:pPr>
        <w:spacing w:after="0"/>
      </w:pPr>
      <w:r>
        <w:t xml:space="preserve">Wyniki ewaluacji są każdorazowo przekazywane Przewodniczącemu Komitetu, Radzie </w:t>
      </w:r>
      <w:r>
        <w:br/>
        <w:t>NIW–CRSO oraz KSM.</w:t>
      </w:r>
    </w:p>
    <w:p w14:paraId="52A29DB4" w14:textId="00330F55" w:rsidR="00932F38" w:rsidRPr="00432921" w:rsidRDefault="00975B7F" w:rsidP="00932F38">
      <w:pPr>
        <w:pStyle w:val="Nagwek2"/>
      </w:pPr>
      <w:bookmarkStart w:id="88" w:name="_Toc506902139"/>
      <w:bookmarkStart w:id="89" w:name="_Toc508718557"/>
      <w:r>
        <w:t>6</w:t>
      </w:r>
      <w:r w:rsidR="00932F38">
        <w:t xml:space="preserve">.4. </w:t>
      </w:r>
      <w:r w:rsidR="00932F38" w:rsidRPr="00432921">
        <w:t>Nadzór</w:t>
      </w:r>
      <w:bookmarkEnd w:id="88"/>
      <w:r w:rsidR="00932F38">
        <w:t xml:space="preserve"> i kontrola</w:t>
      </w:r>
      <w:bookmarkEnd w:id="89"/>
    </w:p>
    <w:p w14:paraId="4388D377" w14:textId="23761110" w:rsidR="00932F38" w:rsidRDefault="00932F38" w:rsidP="00932F38">
      <w:r w:rsidRPr="00432921">
        <w:t xml:space="preserve">Nadzór nad prawidłową realizacją Programu sprawuje Przewodniczący Komitetu. Nadzór jest realizowany zgodnie z </w:t>
      </w:r>
      <w:proofErr w:type="spellStart"/>
      <w:r w:rsidR="00D57F2D">
        <w:t>UoNIW</w:t>
      </w:r>
      <w:proofErr w:type="spellEnd"/>
      <w:r w:rsidR="00761D24">
        <w:t xml:space="preserve"> </w:t>
      </w:r>
      <w:r w:rsidRPr="00432921">
        <w:t xml:space="preserve">oraz </w:t>
      </w:r>
      <w:proofErr w:type="spellStart"/>
      <w:r w:rsidR="002248DD">
        <w:t>UoDPPiW</w:t>
      </w:r>
      <w:proofErr w:type="spellEnd"/>
      <w:r w:rsidRPr="00432921">
        <w:t xml:space="preserve">. Przewodniczącego Komitetu w realizacji nadzoru wspiera Rada </w:t>
      </w:r>
      <w:r w:rsidR="002248DD">
        <w:t>NIW–CRSO</w:t>
      </w:r>
      <w:r w:rsidRPr="00432921">
        <w:t>.</w:t>
      </w:r>
      <w:r>
        <w:t xml:space="preserve"> W ramach nadzoru Przewodniczący Komitetu będzie realizował kontrolę nad działalnością Instytucji Zarządzającej, a co za tym idzie </w:t>
      </w:r>
      <w:r w:rsidR="00D10C92">
        <w:t xml:space="preserve">funkcję </w:t>
      </w:r>
      <w:r>
        <w:t xml:space="preserve">kontrolną </w:t>
      </w:r>
      <w:r w:rsidR="00761D24">
        <w:br/>
      </w:r>
      <w:r>
        <w:t xml:space="preserve">w zakresie wdrażania Programu, na zasadach i w trybie określonych w przepisach o kontroli </w:t>
      </w:r>
      <w:r w:rsidR="00761D24">
        <w:br/>
      </w:r>
      <w:r>
        <w:t>w administracji rządowej.</w:t>
      </w:r>
    </w:p>
    <w:p w14:paraId="7325443C" w14:textId="6CE7FAC7" w:rsidR="00932F38" w:rsidRDefault="00975B7F" w:rsidP="00932F38">
      <w:pPr>
        <w:pStyle w:val="Nagwek2"/>
      </w:pPr>
      <w:bookmarkStart w:id="90" w:name="_Toc508718558"/>
      <w:r>
        <w:lastRenderedPageBreak/>
        <w:t>6</w:t>
      </w:r>
      <w:r w:rsidR="00932F38">
        <w:t>.5. Sprawozdawczość</w:t>
      </w:r>
      <w:bookmarkEnd w:id="90"/>
    </w:p>
    <w:p w14:paraId="77B7A0FD" w14:textId="41C936E1" w:rsidR="00932F38" w:rsidRPr="00432921" w:rsidRDefault="00932F38" w:rsidP="00932F38">
      <w:r>
        <w:t>Sprawozdawczość będzie prowadzona, a jej wyniki agregowane na poziomach: dotacji, konkursu grantowego, Programu. W szczególności Instytucja Zarządzająca będzie wymagała sprawozdawczości od beneficjentów Programu w zakresie działań realizowanych przy wykorzystaniu środków pochodzących z Programu. Na poziomie konkursu grantowego będzie prowadzona sprawozdawczość wewnętrzna w ramach Instytucji Zarządzającej. Na poziomie Programu sprawozdawczość obejmuje zawarc</w:t>
      </w:r>
      <w:r w:rsidR="002248DD">
        <w:t>ie informacji na temat</w:t>
      </w:r>
      <w:r>
        <w:t xml:space="preserve"> wdrażania Programu </w:t>
      </w:r>
      <w:r w:rsidR="00392C0F">
        <w:br/>
      </w:r>
      <w:r>
        <w:t xml:space="preserve">w rocznym sprawozdaniu z działalności oraz rocznym sprawozdaniu finansowym </w:t>
      </w:r>
      <w:r w:rsidR="002248DD">
        <w:t>NIW–CRSO</w:t>
      </w:r>
      <w:r>
        <w:t>, które Dyrektor przedsta</w:t>
      </w:r>
      <w:r w:rsidR="005E3550">
        <w:t xml:space="preserve">wia Przewodniczącemu Komitetu </w:t>
      </w:r>
      <w:r>
        <w:t xml:space="preserve">po uprzednim uzyskaniu opinii </w:t>
      </w:r>
      <w:r w:rsidR="00D57F2D">
        <w:t xml:space="preserve">KSM oraz </w:t>
      </w:r>
      <w:r>
        <w:t>Rady</w:t>
      </w:r>
      <w:r w:rsidRPr="00432921">
        <w:t xml:space="preserve"> </w:t>
      </w:r>
      <w:r w:rsidR="002248DD">
        <w:t>NIW–CRSO</w:t>
      </w:r>
      <w:r>
        <w:t xml:space="preserve">. Dodatkowo wyniki ewaluacji Programu </w:t>
      </w:r>
      <w:r w:rsidR="00D10C92">
        <w:t>(</w:t>
      </w:r>
      <w:r w:rsidR="00D10C92" w:rsidRPr="00A555A1">
        <w:rPr>
          <w:i/>
        </w:rPr>
        <w:t>on-</w:t>
      </w:r>
      <w:proofErr w:type="spellStart"/>
      <w:r w:rsidR="00D10C92" w:rsidRPr="00A555A1">
        <w:rPr>
          <w:i/>
        </w:rPr>
        <w:t>going</w:t>
      </w:r>
      <w:proofErr w:type="spellEnd"/>
      <w:r w:rsidR="00D10C92">
        <w:t xml:space="preserve"> i </w:t>
      </w:r>
      <w:r w:rsidR="00D10C92" w:rsidRPr="00A555A1">
        <w:rPr>
          <w:i/>
        </w:rPr>
        <w:t>ex-post</w:t>
      </w:r>
      <w:r w:rsidR="00D10C92">
        <w:t xml:space="preserve">) </w:t>
      </w:r>
      <w:r>
        <w:t xml:space="preserve">będą przedstawiane </w:t>
      </w:r>
      <w:r w:rsidR="00D57F2D">
        <w:t xml:space="preserve">KSM oraz </w:t>
      </w:r>
      <w:r>
        <w:t xml:space="preserve">Radzie </w:t>
      </w:r>
      <w:r w:rsidR="002248DD">
        <w:t>NIW–CRSO</w:t>
      </w:r>
      <w:r>
        <w:t>.</w:t>
      </w:r>
    </w:p>
    <w:p w14:paraId="5AA7F907" w14:textId="37FDDAD2" w:rsidR="00932F38" w:rsidRPr="00432921" w:rsidRDefault="00975B7F" w:rsidP="00932F38">
      <w:pPr>
        <w:pStyle w:val="Nagwek2"/>
      </w:pPr>
      <w:bookmarkStart w:id="91" w:name="_Toc506902140"/>
      <w:bookmarkStart w:id="92" w:name="_Toc508718559"/>
      <w:r>
        <w:t>6</w:t>
      </w:r>
      <w:r w:rsidR="00932F38">
        <w:t>.6</w:t>
      </w:r>
      <w:r w:rsidR="00AB0A78">
        <w:t>.</w:t>
      </w:r>
      <w:r w:rsidR="00932F38">
        <w:t xml:space="preserve"> </w:t>
      </w:r>
      <w:r w:rsidR="00932F38" w:rsidRPr="00432921">
        <w:t>Informacja, komunikacja i promocja</w:t>
      </w:r>
      <w:bookmarkEnd w:id="91"/>
      <w:bookmarkEnd w:id="92"/>
    </w:p>
    <w:p w14:paraId="790969C4" w14:textId="77777777" w:rsidR="00932F38" w:rsidRPr="00432921" w:rsidRDefault="00932F38" w:rsidP="00932F38">
      <w:r w:rsidRPr="00432921">
        <w:t xml:space="preserve">Instytucja Zarządzająca zapewni odpowiednią informację i promocję celów Programu, oczekiwanych rezultatów Programu oraz jego Priorytetów, a także szczegółowych zasad </w:t>
      </w:r>
      <w:r>
        <w:br/>
      </w:r>
      <w:r w:rsidRPr="00432921">
        <w:t xml:space="preserve">i procedur realizacji Programu opisanych w dokumentach </w:t>
      </w:r>
      <w:r>
        <w:t>wykonawczych Programu.</w:t>
      </w:r>
    </w:p>
    <w:p w14:paraId="4AA520E1" w14:textId="70BA9B0F" w:rsidR="0017447F" w:rsidRDefault="00932F38" w:rsidP="00B2612B">
      <w:r w:rsidRPr="00432921">
        <w:t xml:space="preserve">Instytucja Zarządzająca </w:t>
      </w:r>
      <w:r>
        <w:t>opracuje i wdroży p</w:t>
      </w:r>
      <w:r w:rsidRPr="00432921">
        <w:t xml:space="preserve">lan komunikacji Programu </w:t>
      </w:r>
      <w:r>
        <w:t xml:space="preserve">adresowany </w:t>
      </w:r>
      <w:r w:rsidR="00392C0F">
        <w:br/>
      </w:r>
      <w:r>
        <w:t>do kluczowych grup docelowych: organizacji</w:t>
      </w:r>
      <w:r w:rsidRPr="00432921">
        <w:t xml:space="preserve"> społeczeństwa obywatelskiego</w:t>
      </w:r>
      <w:r>
        <w:t xml:space="preserve"> – </w:t>
      </w:r>
      <w:r w:rsidRPr="00432921">
        <w:t>potencjalnych wniosko</w:t>
      </w:r>
      <w:r>
        <w:t xml:space="preserve">dawców i beneficjentów Programu, podmiotów i instytucji z sektorów publicznego </w:t>
      </w:r>
      <w:r>
        <w:br/>
        <w:t>i prywatnego – potencjalnych partnerów organizacji</w:t>
      </w:r>
      <w:r w:rsidRPr="00432921">
        <w:t xml:space="preserve"> społeczeństwa obywatelskiego</w:t>
      </w:r>
      <w:r>
        <w:t>, a także szerzej opinii publicznej</w:t>
      </w:r>
      <w:r w:rsidRPr="00432921">
        <w:t>. Plan komunikacji dla Programu będzie podstawą prowadzenia działań informacyjnych i promocyjnych</w:t>
      </w:r>
      <w:r>
        <w:t xml:space="preserve"> mających na celu </w:t>
      </w:r>
      <w:r w:rsidR="00D10C92">
        <w:t xml:space="preserve">promocję efektów wdrażania Programu oraz </w:t>
      </w:r>
      <w:r>
        <w:t xml:space="preserve">zapewnienie </w:t>
      </w:r>
      <w:r w:rsidR="00D10C92">
        <w:t xml:space="preserve">beneficjentom, potencjalnym beneficjentom oraz pozostałym interesariuszom wdrażania Programu </w:t>
      </w:r>
      <w:r>
        <w:t xml:space="preserve">dostępu do aktualnych, spójnych i dostosowanych do potrzeb odbiorców informacji o możliwościach finansowania działań. Działania te będą polegały przede wszystkim na utworzeniu, utrzymywaniu i rozwijaniu </w:t>
      </w:r>
      <w:r w:rsidR="009E09B7">
        <w:t xml:space="preserve">kanałów internetowej komunikacji </w:t>
      </w:r>
      <w:r>
        <w:t>Programu, współpracy z mediami i parterami społeczno-gospodarczymi, prowadzeniu zdywersyfikowanych działań informacyjno-promocyjnych</w:t>
      </w:r>
      <w:r w:rsidR="009E09B7">
        <w:t>,</w:t>
      </w:r>
      <w:r>
        <w:t xml:space="preserve"> takich jak: organizacja konferencji, szkoleń, warsztatów praktycznych, działalności wydawniczej, a także innych przedsięwzięć służących upowszechnieniu wiedzy o Programie i kształtowaniu dobrych relacji ze wszystkimi interesariuszami Programu. </w:t>
      </w:r>
      <w:r w:rsidRPr="00432921">
        <w:t xml:space="preserve">Instytucja Zarządzająca przygotuje </w:t>
      </w:r>
      <w:r>
        <w:t xml:space="preserve">i uruchomi przyjazne </w:t>
      </w:r>
      <w:r w:rsidRPr="00432921">
        <w:t>narzędzia elektron</w:t>
      </w:r>
      <w:r w:rsidR="0017447F">
        <w:t>icznej komunikacji w Programie.</w:t>
      </w:r>
    </w:p>
    <w:p w14:paraId="06199428" w14:textId="20592103" w:rsidR="0017447F" w:rsidRPr="00BB2B62" w:rsidRDefault="00975B7F" w:rsidP="0017447F">
      <w:pPr>
        <w:pStyle w:val="Nagwek1"/>
      </w:pPr>
      <w:bookmarkStart w:id="93" w:name="_Toc508718260"/>
      <w:bookmarkStart w:id="94" w:name="_Toc508718407"/>
      <w:bookmarkStart w:id="95" w:name="_Toc508718464"/>
      <w:bookmarkStart w:id="96" w:name="_Toc508718550"/>
      <w:bookmarkStart w:id="97" w:name="_Toc516642775"/>
      <w:r>
        <w:lastRenderedPageBreak/>
        <w:t>7</w:t>
      </w:r>
      <w:r w:rsidR="0017447F">
        <w:t xml:space="preserve">. </w:t>
      </w:r>
      <w:r w:rsidR="0017447F" w:rsidRPr="00BB2B62">
        <w:t>Plan finansowy Programu</w:t>
      </w:r>
      <w:bookmarkEnd w:id="93"/>
      <w:bookmarkEnd w:id="94"/>
      <w:bookmarkEnd w:id="95"/>
      <w:bookmarkEnd w:id="96"/>
      <w:bookmarkEnd w:id="97"/>
    </w:p>
    <w:p w14:paraId="1E5586DF" w14:textId="06C35DBB" w:rsidR="0017447F" w:rsidRPr="00BB2B62" w:rsidRDefault="00975B7F" w:rsidP="0017447F">
      <w:pPr>
        <w:pStyle w:val="Nagwek2"/>
      </w:pPr>
      <w:bookmarkStart w:id="98" w:name="_Toc506902132"/>
      <w:bookmarkStart w:id="99" w:name="_Toc508718551"/>
      <w:r>
        <w:t>7</w:t>
      </w:r>
      <w:r w:rsidR="0017447F">
        <w:t>.1</w:t>
      </w:r>
      <w:r w:rsidR="003A68A1">
        <w:t>.</w:t>
      </w:r>
      <w:r w:rsidR="0017447F">
        <w:t xml:space="preserve"> </w:t>
      </w:r>
      <w:r w:rsidR="0017447F" w:rsidRPr="00BB2B62">
        <w:t>Źródła finansowania Programu</w:t>
      </w:r>
      <w:bookmarkEnd w:id="98"/>
      <w:bookmarkEnd w:id="99"/>
      <w:r w:rsidR="0017447F" w:rsidRPr="00BB2B62">
        <w:t xml:space="preserve"> </w:t>
      </w:r>
    </w:p>
    <w:p w14:paraId="5223CACC" w14:textId="19EDD147" w:rsidR="0017447F" w:rsidRDefault="0017447F" w:rsidP="0017447F">
      <w:r w:rsidRPr="00BB2B62">
        <w:t>Realizacja Programu finansowana będzie z krajowych środków publicznych w ramach Funduszu Wspierania Rozwoju Społeczeństwa Obywatelskiego utworzonego na podstawie art. 88a ustawy z dnia 19 listopada 2009 r. o grach hazardowych, którego dysponentem jest Przewodniczący Komitetu</w:t>
      </w:r>
      <w:r w:rsidR="004E1755">
        <w:t xml:space="preserve"> do spraw Pożytku Publicznego</w:t>
      </w:r>
      <w:r w:rsidRPr="00BB2B62">
        <w:t>.</w:t>
      </w:r>
      <w:r>
        <w:t xml:space="preserve"> Z</w:t>
      </w:r>
      <w:r w:rsidR="004E1755">
        <w:t xml:space="preserve">godnie z nowelizacją ww. ustawy </w:t>
      </w:r>
      <w:r w:rsidR="004E1755">
        <w:br/>
      </w:r>
      <w:r w:rsidRPr="00905498">
        <w:t xml:space="preserve">z dnia 15 grudnia 2016 r., </w:t>
      </w:r>
      <w:r>
        <w:t>przychodem Funduszu Wspierania Rozwoju Społeczeństwa Obywatelskiego jest 4% wpływów z dopłat z</w:t>
      </w:r>
      <w:r w:rsidRPr="00F55B73">
        <w:t xml:space="preserve"> g</w:t>
      </w:r>
      <w:r>
        <w:t xml:space="preserve">ier </w:t>
      </w:r>
      <w:r w:rsidRPr="00F55B73">
        <w:t>objętych monopolem państwa</w:t>
      </w:r>
      <w:r>
        <w:t>. Środki te będą w znaczącej części stanowiły źródło finansowania realizacji niniejszego Programu.</w:t>
      </w:r>
    </w:p>
    <w:p w14:paraId="75DF1CC5" w14:textId="22CFBBC2" w:rsidR="00292610" w:rsidRDefault="00292610" w:rsidP="0017447F">
      <w:r>
        <w:t xml:space="preserve">Koszty obsługi Programu w zakresie wynagrodzeń pracowników biura – pracowników NIW, finansowane będą ze środków budżetu państwa w ramach dotacji podmiotowej dla NIW, zgodnie z </w:t>
      </w:r>
      <w:r w:rsidRPr="00BB2B62">
        <w:t xml:space="preserve">art. 32 </w:t>
      </w:r>
      <w:r>
        <w:t xml:space="preserve">pkt 2 </w:t>
      </w:r>
      <w:proofErr w:type="spellStart"/>
      <w:r>
        <w:t>UoNIW</w:t>
      </w:r>
      <w:proofErr w:type="spellEnd"/>
      <w:r>
        <w:t xml:space="preserve">. Środki te zostały uwzględnione w Projekcie </w:t>
      </w:r>
      <w:r w:rsidRPr="003B7A28">
        <w:t>ustawy o zmianie ustawy o Narodowym Instytucie Wolności – Centrum Rozwoju Społeczeństwa Obywatelskiego</w:t>
      </w:r>
      <w:r>
        <w:t xml:space="preserve"> przyjętym </w:t>
      </w:r>
      <w:r w:rsidRPr="003B7A28">
        <w:t>w trybie obiegowym</w:t>
      </w:r>
      <w:r>
        <w:t xml:space="preserve"> przez Radę</w:t>
      </w:r>
      <w:r w:rsidRPr="003B7A28">
        <w:t xml:space="preserve"> Ministrów </w:t>
      </w:r>
      <w:r>
        <w:t>w dniu</w:t>
      </w:r>
      <w:r w:rsidRPr="003B7A28">
        <w:t xml:space="preserve"> 21 maja 2018 r.</w:t>
      </w:r>
    </w:p>
    <w:p w14:paraId="2AD93E78" w14:textId="3EE8FB15" w:rsidR="00B41507" w:rsidRDefault="0000607B" w:rsidP="0017447F">
      <w:r>
        <w:t xml:space="preserve">Przewodniczący Komitetu, </w:t>
      </w:r>
      <w:r w:rsidR="0017447F" w:rsidRPr="00BB2B62">
        <w:t>na podstawie rocznego planu finansowego F</w:t>
      </w:r>
      <w:r>
        <w:t>WRSO,</w:t>
      </w:r>
      <w:r w:rsidR="0017447F" w:rsidRPr="00BB2B62">
        <w:t xml:space="preserve"> określi wielkość środków na realizację Programu i w drodze dotacji, o której mowa w art. 32 </w:t>
      </w:r>
      <w:proofErr w:type="spellStart"/>
      <w:r w:rsidR="00761D24">
        <w:t>UoNIW</w:t>
      </w:r>
      <w:proofErr w:type="spellEnd"/>
      <w:r>
        <w:t xml:space="preserve">, </w:t>
      </w:r>
      <w:r w:rsidR="0017447F" w:rsidRPr="00BB2B62">
        <w:t xml:space="preserve">przekazywać będzie środki na realizację Programu Instytucji Zarządzającej. </w:t>
      </w:r>
      <w:r w:rsidR="00B41507">
        <w:t xml:space="preserve">Dodatkowo Przewodniczący Komitetu może podjąć decyzję o </w:t>
      </w:r>
      <w:r w:rsidR="00D762D0">
        <w:t xml:space="preserve">zwiększeniu </w:t>
      </w:r>
      <w:r w:rsidR="00C21063">
        <w:t xml:space="preserve">środków przeznaczonych na realizację </w:t>
      </w:r>
      <w:r w:rsidR="0017447F" w:rsidRPr="00BB2B62">
        <w:t xml:space="preserve">Programu </w:t>
      </w:r>
      <w:r w:rsidR="00C21063">
        <w:t xml:space="preserve">w kolejnych latach </w:t>
      </w:r>
      <w:r w:rsidR="00B41507">
        <w:t xml:space="preserve">ze środków pochodzących </w:t>
      </w:r>
      <w:r w:rsidR="0017447F" w:rsidRPr="00BB2B62">
        <w:t>z budżetu państwa</w:t>
      </w:r>
      <w:r w:rsidR="00C21063">
        <w:t>, jeśli środki takie zostaną zapisane w budżecie państwa.</w:t>
      </w:r>
    </w:p>
    <w:p w14:paraId="4BE4B48B" w14:textId="00382BA9" w:rsidR="00F24724" w:rsidRDefault="00B41507" w:rsidP="0017447F">
      <w:r>
        <w:t>Z uwagi na fakt, że wartość środków przeznaczonych na realizację Programu jest z jednej strony uzależniona od wartości wpływów z dopłat z</w:t>
      </w:r>
      <w:r w:rsidRPr="00F55B73">
        <w:t xml:space="preserve"> g</w:t>
      </w:r>
      <w:r>
        <w:t xml:space="preserve">ier </w:t>
      </w:r>
      <w:r w:rsidRPr="00F55B73">
        <w:t>objętych monopolem państwa</w:t>
      </w:r>
      <w:r>
        <w:t xml:space="preserve">, a </w:t>
      </w:r>
      <w:r w:rsidR="00593294">
        <w:t xml:space="preserve">z </w:t>
      </w:r>
      <w:r>
        <w:t xml:space="preserve">drugiej strony od wartości środków pochodzących z budżetu państwa </w:t>
      </w:r>
      <w:r w:rsidR="00F24724">
        <w:t>ustalanej corocznie w ustawie budżetowej, plan finansowy Programu został zaprezentowany w ujęciu procentowym</w:t>
      </w:r>
      <w:r w:rsidR="00593294">
        <w:t>,</w:t>
      </w:r>
      <w:r w:rsidR="00F24724">
        <w:t xml:space="preserve"> </w:t>
      </w:r>
      <w:r w:rsidR="00F24724">
        <w:br/>
        <w:t xml:space="preserve">w podziale na priorytety. Szacuje się, że łączna wartość Programu w latach 2018–2030 wyniesie 585 mln zł. </w:t>
      </w:r>
      <w:r w:rsidR="00FB7F2C">
        <w:t xml:space="preserve">Tabela 5 przedstawia symulację planu finansowego na roczną coroczny budżet w wysokości 45 mln zł.  </w:t>
      </w:r>
    </w:p>
    <w:p w14:paraId="7E17C9CA" w14:textId="53D84369" w:rsidR="00B41507" w:rsidRDefault="00C21063" w:rsidP="0017447F">
      <w:r>
        <w:t xml:space="preserve">Na podstawie decyzji </w:t>
      </w:r>
      <w:r w:rsidRPr="00F24724">
        <w:t>Przewodniczącego Komitetu</w:t>
      </w:r>
      <w:r>
        <w:t xml:space="preserve"> określającej wielkość środków przeznaczonych na realizację Programu w kolejnych latach </w:t>
      </w:r>
      <w:r w:rsidRPr="00F24724">
        <w:t xml:space="preserve">Instytucja Zarządzająca ustali </w:t>
      </w:r>
      <w:r w:rsidRPr="00F24724">
        <w:lastRenderedPageBreak/>
        <w:t>roczny plan finansowy Programu</w:t>
      </w:r>
      <w:r>
        <w:t>, który podlega zatwierdzeniu przez Przewodniczącego Komitetu.</w:t>
      </w:r>
    </w:p>
    <w:p w14:paraId="0C1624DA" w14:textId="77777777" w:rsidR="0017447F" w:rsidRDefault="0017447F" w:rsidP="0017447F">
      <w:pPr>
        <w:sectPr w:rsidR="0017447F">
          <w:pgSz w:w="11906" w:h="16838"/>
          <w:pgMar w:top="1417" w:right="1417" w:bottom="1417" w:left="1417" w:header="708" w:footer="708" w:gutter="0"/>
          <w:cols w:space="708"/>
          <w:docGrid w:linePitch="360"/>
        </w:sectPr>
      </w:pPr>
    </w:p>
    <w:p w14:paraId="48906CAD" w14:textId="6A6612D7" w:rsidR="0017447F" w:rsidRDefault="00975B7F" w:rsidP="0017447F">
      <w:pPr>
        <w:pStyle w:val="Nagwek2"/>
      </w:pPr>
      <w:bookmarkStart w:id="100" w:name="_Toc508718552"/>
      <w:r>
        <w:lastRenderedPageBreak/>
        <w:t>7</w:t>
      </w:r>
      <w:r w:rsidR="0017447F">
        <w:t>.2. Plan finansowy Programu</w:t>
      </w:r>
      <w:bookmarkEnd w:id="100"/>
    </w:p>
    <w:p w14:paraId="028CED5D" w14:textId="52B3DA18" w:rsidR="00F24724" w:rsidRDefault="00F24724" w:rsidP="007A6A28">
      <w:pPr>
        <w:pStyle w:val="Legenda"/>
        <w:keepNext/>
        <w:spacing w:line="360" w:lineRule="auto"/>
      </w:pPr>
      <w:r>
        <w:t xml:space="preserve">Tabela </w:t>
      </w:r>
      <w:r w:rsidR="00876468">
        <w:fldChar w:fldCharType="begin"/>
      </w:r>
      <w:r w:rsidR="00876468">
        <w:instrText xml:space="preserve"> SEQ Tabela \* ARABIC </w:instrText>
      </w:r>
      <w:r w:rsidR="00876468">
        <w:fldChar w:fldCharType="separate"/>
      </w:r>
      <w:r w:rsidR="00E74C5A">
        <w:rPr>
          <w:noProof/>
        </w:rPr>
        <w:t>4</w:t>
      </w:r>
      <w:r w:rsidR="00876468">
        <w:rPr>
          <w:noProof/>
        </w:rPr>
        <w:fldChar w:fldCharType="end"/>
      </w:r>
      <w:r w:rsidR="007A6A28">
        <w:t>. Plan finansowy Programu Rozwoju Organizacji Obywatelskich</w:t>
      </w:r>
      <w:r w:rsidR="00A454ED">
        <w:t xml:space="preserve"> w %</w:t>
      </w:r>
    </w:p>
    <w:tbl>
      <w:tblPr>
        <w:tblStyle w:val="Tabela-Siatka"/>
        <w:tblW w:w="16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737"/>
        <w:gridCol w:w="737"/>
        <w:gridCol w:w="737"/>
        <w:gridCol w:w="737"/>
        <w:gridCol w:w="737"/>
        <w:gridCol w:w="737"/>
        <w:gridCol w:w="737"/>
        <w:gridCol w:w="737"/>
        <w:gridCol w:w="737"/>
        <w:gridCol w:w="737"/>
        <w:gridCol w:w="737"/>
        <w:gridCol w:w="737"/>
        <w:gridCol w:w="737"/>
        <w:gridCol w:w="2152"/>
      </w:tblGrid>
      <w:tr w:rsidR="0017447F" w:rsidRPr="00F8182C" w14:paraId="2680C8BD" w14:textId="77777777" w:rsidTr="00372D3F">
        <w:trPr>
          <w:trHeight w:val="397"/>
        </w:trPr>
        <w:tc>
          <w:tcPr>
            <w:tcW w:w="4536" w:type="dxa"/>
            <w:vMerge w:val="restart"/>
            <w:vAlign w:val="bottom"/>
          </w:tcPr>
          <w:p w14:paraId="67A60C80" w14:textId="77777777" w:rsidR="0017447F" w:rsidRPr="00F8182C" w:rsidRDefault="0017447F" w:rsidP="00372D3F">
            <w:pPr>
              <w:spacing w:after="0" w:line="240" w:lineRule="auto"/>
              <w:jc w:val="left"/>
              <w:rPr>
                <w:i/>
                <w:sz w:val="22"/>
              </w:rPr>
            </w:pPr>
            <w:r w:rsidRPr="00F8182C">
              <w:rPr>
                <w:i/>
                <w:sz w:val="22"/>
              </w:rPr>
              <w:t>Priorytet Programu</w:t>
            </w:r>
          </w:p>
        </w:tc>
        <w:tc>
          <w:tcPr>
            <w:tcW w:w="11733" w:type="dxa"/>
            <w:gridSpan w:val="14"/>
            <w:vAlign w:val="center"/>
          </w:tcPr>
          <w:p w14:paraId="683A7AAA" w14:textId="0B4F46E7" w:rsidR="0017447F" w:rsidRPr="00F8182C" w:rsidRDefault="0017447F" w:rsidP="00372D3F">
            <w:pPr>
              <w:spacing w:after="0" w:line="240" w:lineRule="auto"/>
              <w:ind w:right="-155"/>
              <w:jc w:val="center"/>
              <w:rPr>
                <w:i/>
                <w:sz w:val="22"/>
              </w:rPr>
            </w:pPr>
            <w:r w:rsidRPr="00F8182C">
              <w:rPr>
                <w:i/>
                <w:sz w:val="22"/>
              </w:rPr>
              <w:t>Środki na realiza</w:t>
            </w:r>
            <w:r w:rsidR="007A6A28">
              <w:rPr>
                <w:i/>
                <w:sz w:val="22"/>
              </w:rPr>
              <w:t>cję Programu w kolejnych latach</w:t>
            </w:r>
            <w:r w:rsidR="005D150C">
              <w:rPr>
                <w:i/>
                <w:sz w:val="22"/>
              </w:rPr>
              <w:t xml:space="preserve"> w %</w:t>
            </w:r>
          </w:p>
        </w:tc>
      </w:tr>
      <w:tr w:rsidR="0017447F" w:rsidRPr="00F8182C" w14:paraId="77147F0B" w14:textId="77777777" w:rsidTr="00372D3F">
        <w:trPr>
          <w:gridAfter w:val="1"/>
          <w:wAfter w:w="2152" w:type="dxa"/>
          <w:trHeight w:val="172"/>
        </w:trPr>
        <w:tc>
          <w:tcPr>
            <w:tcW w:w="4536" w:type="dxa"/>
            <w:vMerge/>
            <w:tcBorders>
              <w:bottom w:val="single" w:sz="4" w:space="0" w:color="auto"/>
            </w:tcBorders>
          </w:tcPr>
          <w:p w14:paraId="35A1D39A" w14:textId="77777777" w:rsidR="0017447F" w:rsidRPr="00F8182C" w:rsidRDefault="0017447F" w:rsidP="00372D3F">
            <w:pPr>
              <w:spacing w:after="0" w:line="240" w:lineRule="auto"/>
              <w:rPr>
                <w:i/>
                <w:sz w:val="22"/>
              </w:rPr>
            </w:pPr>
          </w:p>
        </w:tc>
        <w:tc>
          <w:tcPr>
            <w:tcW w:w="737" w:type="dxa"/>
            <w:tcBorders>
              <w:bottom w:val="single" w:sz="4" w:space="0" w:color="auto"/>
            </w:tcBorders>
            <w:vAlign w:val="center"/>
          </w:tcPr>
          <w:p w14:paraId="1C3F85BA" w14:textId="77777777" w:rsidR="0017447F" w:rsidRPr="00F8182C" w:rsidRDefault="0017447F" w:rsidP="00372D3F">
            <w:pPr>
              <w:spacing w:after="0" w:line="240" w:lineRule="auto"/>
              <w:jc w:val="center"/>
              <w:rPr>
                <w:i/>
                <w:sz w:val="22"/>
              </w:rPr>
            </w:pPr>
            <w:r w:rsidRPr="00F8182C">
              <w:rPr>
                <w:i/>
                <w:sz w:val="22"/>
              </w:rPr>
              <w:t>2018</w:t>
            </w:r>
          </w:p>
        </w:tc>
        <w:tc>
          <w:tcPr>
            <w:tcW w:w="737" w:type="dxa"/>
            <w:tcBorders>
              <w:bottom w:val="single" w:sz="4" w:space="0" w:color="auto"/>
            </w:tcBorders>
            <w:vAlign w:val="center"/>
          </w:tcPr>
          <w:p w14:paraId="4BF9EEAF" w14:textId="77777777" w:rsidR="0017447F" w:rsidRPr="00F8182C" w:rsidRDefault="0017447F" w:rsidP="00372D3F">
            <w:pPr>
              <w:spacing w:after="0" w:line="240" w:lineRule="auto"/>
              <w:jc w:val="center"/>
              <w:rPr>
                <w:i/>
                <w:sz w:val="22"/>
              </w:rPr>
            </w:pPr>
            <w:r w:rsidRPr="00F8182C">
              <w:rPr>
                <w:i/>
                <w:sz w:val="22"/>
              </w:rPr>
              <w:t>2019</w:t>
            </w:r>
          </w:p>
        </w:tc>
        <w:tc>
          <w:tcPr>
            <w:tcW w:w="737" w:type="dxa"/>
            <w:tcBorders>
              <w:bottom w:val="single" w:sz="4" w:space="0" w:color="auto"/>
            </w:tcBorders>
            <w:vAlign w:val="center"/>
          </w:tcPr>
          <w:p w14:paraId="4E469FAB" w14:textId="77777777" w:rsidR="0017447F" w:rsidRPr="00F8182C" w:rsidRDefault="0017447F" w:rsidP="00372D3F">
            <w:pPr>
              <w:spacing w:after="0" w:line="240" w:lineRule="auto"/>
              <w:jc w:val="center"/>
              <w:rPr>
                <w:i/>
                <w:sz w:val="22"/>
              </w:rPr>
            </w:pPr>
            <w:r w:rsidRPr="00F8182C">
              <w:rPr>
                <w:i/>
                <w:sz w:val="22"/>
              </w:rPr>
              <w:t>2020</w:t>
            </w:r>
          </w:p>
        </w:tc>
        <w:tc>
          <w:tcPr>
            <w:tcW w:w="737" w:type="dxa"/>
            <w:tcBorders>
              <w:bottom w:val="single" w:sz="4" w:space="0" w:color="auto"/>
            </w:tcBorders>
            <w:vAlign w:val="center"/>
          </w:tcPr>
          <w:p w14:paraId="066832C6" w14:textId="77777777" w:rsidR="0017447F" w:rsidRPr="00F8182C" w:rsidRDefault="0017447F" w:rsidP="00372D3F">
            <w:pPr>
              <w:spacing w:after="0" w:line="240" w:lineRule="auto"/>
              <w:jc w:val="center"/>
              <w:rPr>
                <w:i/>
                <w:sz w:val="22"/>
              </w:rPr>
            </w:pPr>
            <w:r w:rsidRPr="00F8182C">
              <w:rPr>
                <w:i/>
                <w:sz w:val="22"/>
              </w:rPr>
              <w:t>2021</w:t>
            </w:r>
          </w:p>
        </w:tc>
        <w:tc>
          <w:tcPr>
            <w:tcW w:w="737" w:type="dxa"/>
            <w:tcBorders>
              <w:bottom w:val="single" w:sz="4" w:space="0" w:color="auto"/>
            </w:tcBorders>
            <w:vAlign w:val="center"/>
          </w:tcPr>
          <w:p w14:paraId="66708CA0" w14:textId="77777777" w:rsidR="0017447F" w:rsidRPr="00F8182C" w:rsidRDefault="0017447F" w:rsidP="00372D3F">
            <w:pPr>
              <w:spacing w:after="0" w:line="240" w:lineRule="auto"/>
              <w:jc w:val="center"/>
              <w:rPr>
                <w:i/>
                <w:sz w:val="22"/>
              </w:rPr>
            </w:pPr>
            <w:r w:rsidRPr="00F8182C">
              <w:rPr>
                <w:i/>
                <w:sz w:val="22"/>
              </w:rPr>
              <w:t>2022</w:t>
            </w:r>
          </w:p>
        </w:tc>
        <w:tc>
          <w:tcPr>
            <w:tcW w:w="737" w:type="dxa"/>
            <w:tcBorders>
              <w:bottom w:val="single" w:sz="4" w:space="0" w:color="auto"/>
            </w:tcBorders>
            <w:vAlign w:val="center"/>
          </w:tcPr>
          <w:p w14:paraId="06CFC6E5" w14:textId="77777777" w:rsidR="0017447F" w:rsidRPr="00F8182C" w:rsidRDefault="0017447F" w:rsidP="00372D3F">
            <w:pPr>
              <w:spacing w:after="0" w:line="240" w:lineRule="auto"/>
              <w:jc w:val="center"/>
              <w:rPr>
                <w:i/>
                <w:sz w:val="22"/>
              </w:rPr>
            </w:pPr>
            <w:r w:rsidRPr="00F8182C">
              <w:rPr>
                <w:i/>
                <w:sz w:val="22"/>
              </w:rPr>
              <w:t>2023</w:t>
            </w:r>
          </w:p>
        </w:tc>
        <w:tc>
          <w:tcPr>
            <w:tcW w:w="737" w:type="dxa"/>
            <w:tcBorders>
              <w:bottom w:val="single" w:sz="4" w:space="0" w:color="auto"/>
            </w:tcBorders>
            <w:vAlign w:val="center"/>
          </w:tcPr>
          <w:p w14:paraId="6C0E00D4" w14:textId="77777777" w:rsidR="0017447F" w:rsidRPr="00F8182C" w:rsidRDefault="0017447F" w:rsidP="00372D3F">
            <w:pPr>
              <w:spacing w:after="0" w:line="240" w:lineRule="auto"/>
              <w:jc w:val="center"/>
              <w:rPr>
                <w:i/>
                <w:sz w:val="22"/>
              </w:rPr>
            </w:pPr>
            <w:r w:rsidRPr="00F8182C">
              <w:rPr>
                <w:i/>
                <w:sz w:val="22"/>
              </w:rPr>
              <w:t>2024</w:t>
            </w:r>
          </w:p>
        </w:tc>
        <w:tc>
          <w:tcPr>
            <w:tcW w:w="737" w:type="dxa"/>
            <w:tcBorders>
              <w:bottom w:val="single" w:sz="4" w:space="0" w:color="auto"/>
            </w:tcBorders>
            <w:vAlign w:val="center"/>
          </w:tcPr>
          <w:p w14:paraId="7042A359" w14:textId="77777777" w:rsidR="0017447F" w:rsidRPr="00F8182C" w:rsidRDefault="0017447F" w:rsidP="00372D3F">
            <w:pPr>
              <w:spacing w:after="0" w:line="240" w:lineRule="auto"/>
              <w:jc w:val="center"/>
              <w:rPr>
                <w:i/>
                <w:sz w:val="22"/>
              </w:rPr>
            </w:pPr>
            <w:r w:rsidRPr="00F8182C">
              <w:rPr>
                <w:i/>
                <w:sz w:val="22"/>
              </w:rPr>
              <w:t>2025</w:t>
            </w:r>
          </w:p>
        </w:tc>
        <w:tc>
          <w:tcPr>
            <w:tcW w:w="737" w:type="dxa"/>
            <w:tcBorders>
              <w:bottom w:val="single" w:sz="4" w:space="0" w:color="auto"/>
            </w:tcBorders>
          </w:tcPr>
          <w:p w14:paraId="4781818C" w14:textId="77777777" w:rsidR="0017447F" w:rsidRPr="00F8182C" w:rsidRDefault="0017447F" w:rsidP="00372D3F">
            <w:pPr>
              <w:spacing w:after="0" w:line="240" w:lineRule="auto"/>
              <w:jc w:val="center"/>
              <w:rPr>
                <w:i/>
                <w:sz w:val="22"/>
              </w:rPr>
            </w:pPr>
            <w:r w:rsidRPr="00F8182C">
              <w:rPr>
                <w:i/>
                <w:sz w:val="22"/>
              </w:rPr>
              <w:t>2026</w:t>
            </w:r>
          </w:p>
        </w:tc>
        <w:tc>
          <w:tcPr>
            <w:tcW w:w="737" w:type="dxa"/>
            <w:tcBorders>
              <w:bottom w:val="single" w:sz="4" w:space="0" w:color="auto"/>
            </w:tcBorders>
          </w:tcPr>
          <w:p w14:paraId="4E53A735" w14:textId="77777777" w:rsidR="0017447F" w:rsidRPr="00F8182C" w:rsidRDefault="0017447F" w:rsidP="00372D3F">
            <w:pPr>
              <w:spacing w:after="0" w:line="240" w:lineRule="auto"/>
              <w:jc w:val="center"/>
              <w:rPr>
                <w:i/>
                <w:sz w:val="22"/>
              </w:rPr>
            </w:pPr>
            <w:r w:rsidRPr="00F8182C">
              <w:rPr>
                <w:i/>
                <w:sz w:val="22"/>
              </w:rPr>
              <w:t>2027</w:t>
            </w:r>
          </w:p>
        </w:tc>
        <w:tc>
          <w:tcPr>
            <w:tcW w:w="737" w:type="dxa"/>
            <w:tcBorders>
              <w:bottom w:val="single" w:sz="4" w:space="0" w:color="auto"/>
            </w:tcBorders>
          </w:tcPr>
          <w:p w14:paraId="7A4283CD" w14:textId="77777777" w:rsidR="0017447F" w:rsidRPr="00F8182C" w:rsidRDefault="0017447F" w:rsidP="00372D3F">
            <w:pPr>
              <w:spacing w:after="0" w:line="240" w:lineRule="auto"/>
              <w:jc w:val="center"/>
              <w:rPr>
                <w:i/>
                <w:sz w:val="22"/>
              </w:rPr>
            </w:pPr>
            <w:r w:rsidRPr="00F8182C">
              <w:rPr>
                <w:i/>
                <w:sz w:val="22"/>
              </w:rPr>
              <w:t>2028</w:t>
            </w:r>
          </w:p>
        </w:tc>
        <w:tc>
          <w:tcPr>
            <w:tcW w:w="737" w:type="dxa"/>
            <w:tcBorders>
              <w:bottom w:val="single" w:sz="4" w:space="0" w:color="auto"/>
            </w:tcBorders>
          </w:tcPr>
          <w:p w14:paraId="64C750B9" w14:textId="77777777" w:rsidR="0017447F" w:rsidRPr="00F8182C" w:rsidRDefault="0017447F" w:rsidP="00372D3F">
            <w:pPr>
              <w:spacing w:after="0" w:line="240" w:lineRule="auto"/>
              <w:jc w:val="center"/>
              <w:rPr>
                <w:i/>
                <w:sz w:val="22"/>
              </w:rPr>
            </w:pPr>
            <w:r w:rsidRPr="00F8182C">
              <w:rPr>
                <w:i/>
                <w:sz w:val="22"/>
              </w:rPr>
              <w:t>2029</w:t>
            </w:r>
          </w:p>
        </w:tc>
        <w:tc>
          <w:tcPr>
            <w:tcW w:w="737" w:type="dxa"/>
            <w:tcBorders>
              <w:bottom w:val="single" w:sz="4" w:space="0" w:color="auto"/>
            </w:tcBorders>
          </w:tcPr>
          <w:p w14:paraId="4D70AFC9" w14:textId="77777777" w:rsidR="0017447F" w:rsidRPr="00F8182C" w:rsidRDefault="0017447F" w:rsidP="00372D3F">
            <w:pPr>
              <w:spacing w:after="0" w:line="240" w:lineRule="auto"/>
              <w:jc w:val="center"/>
              <w:rPr>
                <w:i/>
                <w:sz w:val="22"/>
              </w:rPr>
            </w:pPr>
            <w:r w:rsidRPr="00F8182C">
              <w:rPr>
                <w:i/>
                <w:sz w:val="22"/>
              </w:rPr>
              <w:t>2030</w:t>
            </w:r>
          </w:p>
        </w:tc>
      </w:tr>
      <w:tr w:rsidR="00A20625" w:rsidRPr="007D5465" w14:paraId="59498B90" w14:textId="77777777" w:rsidTr="00A20625">
        <w:trPr>
          <w:gridAfter w:val="1"/>
          <w:wAfter w:w="2152" w:type="dxa"/>
          <w:trHeight w:val="850"/>
        </w:trPr>
        <w:tc>
          <w:tcPr>
            <w:tcW w:w="4536" w:type="dxa"/>
            <w:tcBorders>
              <w:top w:val="single" w:sz="4" w:space="0" w:color="auto"/>
              <w:bottom w:val="single" w:sz="4" w:space="0" w:color="auto"/>
              <w:right w:val="single" w:sz="4" w:space="0" w:color="auto"/>
            </w:tcBorders>
            <w:vAlign w:val="center"/>
          </w:tcPr>
          <w:p w14:paraId="685ABEB5" w14:textId="77777777" w:rsidR="00A20625" w:rsidRPr="00A8737D" w:rsidRDefault="00A20625" w:rsidP="00A20625">
            <w:pPr>
              <w:tabs>
                <w:tab w:val="left" w:pos="1169"/>
              </w:tabs>
              <w:spacing w:after="0" w:line="240" w:lineRule="auto"/>
              <w:jc w:val="left"/>
              <w:rPr>
                <w:sz w:val="22"/>
              </w:rPr>
            </w:pPr>
            <w:r w:rsidRPr="00A8737D">
              <w:rPr>
                <w:sz w:val="22"/>
              </w:rPr>
              <w:t>Priorytet 1a</w:t>
            </w:r>
            <w:r w:rsidRPr="00A8737D">
              <w:rPr>
                <w:sz w:val="22"/>
              </w:rPr>
              <w:br/>
            </w:r>
            <w:r w:rsidRPr="00A8737D">
              <w:rPr>
                <w:rFonts w:eastAsia="Calibri"/>
                <w:sz w:val="22"/>
              </w:rPr>
              <w:t>Wsparcie działań misyjnych i rozwoju instytucjonalnego</w:t>
            </w:r>
          </w:p>
        </w:tc>
        <w:tc>
          <w:tcPr>
            <w:tcW w:w="737" w:type="dxa"/>
            <w:tcBorders>
              <w:top w:val="single" w:sz="4" w:space="0" w:color="auto"/>
              <w:left w:val="single" w:sz="4" w:space="0" w:color="auto"/>
              <w:bottom w:val="nil"/>
              <w:right w:val="nil"/>
            </w:tcBorders>
            <w:shd w:val="clear" w:color="auto" w:fill="auto"/>
            <w:vAlign w:val="center"/>
          </w:tcPr>
          <w:p w14:paraId="7C530D60" w14:textId="6A2E29C1" w:rsidR="00A20625" w:rsidRPr="00372D3F" w:rsidRDefault="00A20625" w:rsidP="00A20625">
            <w:pPr>
              <w:spacing w:after="0" w:line="240" w:lineRule="auto"/>
              <w:jc w:val="center"/>
              <w:rPr>
                <w:rFonts w:asciiTheme="majorHAnsi" w:hAnsiTheme="majorHAnsi" w:cstheme="majorHAnsi"/>
                <w:sz w:val="22"/>
              </w:rPr>
            </w:pPr>
            <w:r w:rsidRPr="00140B1E">
              <w:t>66%</w:t>
            </w:r>
          </w:p>
        </w:tc>
        <w:tc>
          <w:tcPr>
            <w:tcW w:w="737" w:type="dxa"/>
            <w:tcBorders>
              <w:top w:val="single" w:sz="4" w:space="0" w:color="auto"/>
              <w:left w:val="nil"/>
              <w:bottom w:val="nil"/>
              <w:right w:val="nil"/>
            </w:tcBorders>
            <w:shd w:val="clear" w:color="auto" w:fill="auto"/>
            <w:vAlign w:val="center"/>
          </w:tcPr>
          <w:p w14:paraId="19352419" w14:textId="3A6EF2A7" w:rsidR="00A20625" w:rsidRPr="00372D3F" w:rsidRDefault="00A20625" w:rsidP="00A20625">
            <w:pPr>
              <w:spacing w:after="0" w:line="240" w:lineRule="auto"/>
              <w:jc w:val="center"/>
              <w:rPr>
                <w:rFonts w:asciiTheme="majorHAnsi" w:hAnsiTheme="majorHAnsi" w:cstheme="majorHAnsi"/>
                <w:sz w:val="22"/>
              </w:rPr>
            </w:pPr>
            <w:r w:rsidRPr="00140B1E">
              <w:t>62%</w:t>
            </w:r>
          </w:p>
        </w:tc>
        <w:tc>
          <w:tcPr>
            <w:tcW w:w="737" w:type="dxa"/>
            <w:tcBorders>
              <w:top w:val="single" w:sz="4" w:space="0" w:color="auto"/>
              <w:left w:val="nil"/>
              <w:bottom w:val="nil"/>
              <w:right w:val="nil"/>
            </w:tcBorders>
            <w:shd w:val="clear" w:color="auto" w:fill="auto"/>
            <w:vAlign w:val="center"/>
          </w:tcPr>
          <w:p w14:paraId="26B68F40" w14:textId="6D67803A" w:rsidR="00A20625" w:rsidRPr="00372D3F" w:rsidRDefault="00A20625" w:rsidP="00A20625">
            <w:pPr>
              <w:spacing w:after="0" w:line="240" w:lineRule="auto"/>
              <w:jc w:val="center"/>
              <w:rPr>
                <w:rFonts w:asciiTheme="majorHAnsi" w:hAnsiTheme="majorHAnsi" w:cstheme="majorHAnsi"/>
                <w:sz w:val="22"/>
              </w:rPr>
            </w:pPr>
            <w:r w:rsidRPr="00140B1E">
              <w:t>62%</w:t>
            </w:r>
          </w:p>
        </w:tc>
        <w:tc>
          <w:tcPr>
            <w:tcW w:w="737" w:type="dxa"/>
            <w:tcBorders>
              <w:top w:val="single" w:sz="4" w:space="0" w:color="auto"/>
              <w:left w:val="nil"/>
              <w:bottom w:val="nil"/>
              <w:right w:val="nil"/>
            </w:tcBorders>
            <w:shd w:val="clear" w:color="auto" w:fill="auto"/>
            <w:vAlign w:val="center"/>
          </w:tcPr>
          <w:p w14:paraId="44A25E9F" w14:textId="7675C50A" w:rsidR="00A20625" w:rsidRPr="00372D3F" w:rsidRDefault="00A20625" w:rsidP="00A20625">
            <w:pPr>
              <w:spacing w:after="0" w:line="240" w:lineRule="auto"/>
              <w:jc w:val="center"/>
              <w:rPr>
                <w:rFonts w:asciiTheme="majorHAnsi" w:hAnsiTheme="majorHAnsi" w:cstheme="majorHAnsi"/>
                <w:sz w:val="22"/>
              </w:rPr>
            </w:pPr>
            <w:r w:rsidRPr="00140B1E">
              <w:t>57%</w:t>
            </w:r>
          </w:p>
        </w:tc>
        <w:tc>
          <w:tcPr>
            <w:tcW w:w="737" w:type="dxa"/>
            <w:tcBorders>
              <w:top w:val="single" w:sz="4" w:space="0" w:color="auto"/>
              <w:left w:val="nil"/>
              <w:bottom w:val="nil"/>
              <w:right w:val="nil"/>
            </w:tcBorders>
            <w:shd w:val="clear" w:color="auto" w:fill="auto"/>
            <w:vAlign w:val="center"/>
          </w:tcPr>
          <w:p w14:paraId="2414C178" w14:textId="06DD4BF0" w:rsidR="00A20625" w:rsidRPr="00372D3F" w:rsidRDefault="00A20625" w:rsidP="00A20625">
            <w:pPr>
              <w:spacing w:after="0" w:line="240" w:lineRule="auto"/>
              <w:jc w:val="center"/>
              <w:rPr>
                <w:rFonts w:asciiTheme="majorHAnsi" w:hAnsiTheme="majorHAnsi" w:cstheme="majorHAnsi"/>
                <w:sz w:val="22"/>
              </w:rPr>
            </w:pPr>
            <w:r w:rsidRPr="00140B1E">
              <w:t>57%</w:t>
            </w:r>
          </w:p>
        </w:tc>
        <w:tc>
          <w:tcPr>
            <w:tcW w:w="737" w:type="dxa"/>
            <w:tcBorders>
              <w:top w:val="single" w:sz="4" w:space="0" w:color="auto"/>
              <w:left w:val="nil"/>
              <w:bottom w:val="nil"/>
              <w:right w:val="nil"/>
            </w:tcBorders>
            <w:shd w:val="clear" w:color="auto" w:fill="auto"/>
            <w:vAlign w:val="center"/>
          </w:tcPr>
          <w:p w14:paraId="4B4EEBEA" w14:textId="6E430F86" w:rsidR="00A20625" w:rsidRPr="00372D3F" w:rsidRDefault="00A20625" w:rsidP="00A20625">
            <w:pPr>
              <w:spacing w:after="0" w:line="240" w:lineRule="auto"/>
              <w:jc w:val="center"/>
              <w:rPr>
                <w:rFonts w:asciiTheme="majorHAnsi" w:hAnsiTheme="majorHAnsi" w:cstheme="majorHAnsi"/>
                <w:sz w:val="22"/>
              </w:rPr>
            </w:pPr>
            <w:r w:rsidRPr="00140B1E">
              <w:t>57%</w:t>
            </w:r>
          </w:p>
        </w:tc>
        <w:tc>
          <w:tcPr>
            <w:tcW w:w="737" w:type="dxa"/>
            <w:tcBorders>
              <w:top w:val="single" w:sz="4" w:space="0" w:color="auto"/>
              <w:left w:val="nil"/>
              <w:bottom w:val="nil"/>
              <w:right w:val="nil"/>
            </w:tcBorders>
            <w:shd w:val="clear" w:color="auto" w:fill="auto"/>
            <w:vAlign w:val="center"/>
          </w:tcPr>
          <w:p w14:paraId="2DBD4940" w14:textId="2083AD4A" w:rsidR="00A20625" w:rsidRPr="00372D3F" w:rsidRDefault="00A20625" w:rsidP="00A20625">
            <w:pPr>
              <w:spacing w:after="0" w:line="240" w:lineRule="auto"/>
              <w:jc w:val="center"/>
              <w:rPr>
                <w:rFonts w:asciiTheme="majorHAnsi" w:hAnsiTheme="majorHAnsi" w:cstheme="majorHAnsi"/>
                <w:sz w:val="22"/>
              </w:rPr>
            </w:pPr>
            <w:r w:rsidRPr="00140B1E">
              <w:t>50%</w:t>
            </w:r>
          </w:p>
        </w:tc>
        <w:tc>
          <w:tcPr>
            <w:tcW w:w="737" w:type="dxa"/>
            <w:tcBorders>
              <w:top w:val="single" w:sz="4" w:space="0" w:color="auto"/>
              <w:left w:val="nil"/>
              <w:bottom w:val="nil"/>
              <w:right w:val="nil"/>
            </w:tcBorders>
            <w:shd w:val="clear" w:color="auto" w:fill="auto"/>
            <w:vAlign w:val="center"/>
          </w:tcPr>
          <w:p w14:paraId="51AFDC8A" w14:textId="4C35ADD3" w:rsidR="00A20625" w:rsidRPr="00372D3F" w:rsidRDefault="00A20625" w:rsidP="00A20625">
            <w:pPr>
              <w:spacing w:after="0" w:line="240" w:lineRule="auto"/>
              <w:jc w:val="center"/>
              <w:rPr>
                <w:rFonts w:asciiTheme="majorHAnsi" w:hAnsiTheme="majorHAnsi" w:cstheme="majorHAnsi"/>
                <w:sz w:val="22"/>
              </w:rPr>
            </w:pPr>
            <w:r w:rsidRPr="00140B1E">
              <w:t>48%</w:t>
            </w:r>
          </w:p>
        </w:tc>
        <w:tc>
          <w:tcPr>
            <w:tcW w:w="737" w:type="dxa"/>
            <w:tcBorders>
              <w:top w:val="single" w:sz="4" w:space="0" w:color="auto"/>
              <w:left w:val="nil"/>
              <w:bottom w:val="nil"/>
              <w:right w:val="nil"/>
            </w:tcBorders>
            <w:shd w:val="clear" w:color="auto" w:fill="auto"/>
            <w:vAlign w:val="center"/>
          </w:tcPr>
          <w:p w14:paraId="62AC6E20" w14:textId="208482F6" w:rsidR="00A20625" w:rsidRPr="00372D3F" w:rsidRDefault="00A20625" w:rsidP="00A20625">
            <w:pPr>
              <w:spacing w:after="0" w:line="240" w:lineRule="auto"/>
              <w:jc w:val="center"/>
              <w:rPr>
                <w:rFonts w:asciiTheme="majorHAnsi" w:hAnsiTheme="majorHAnsi" w:cstheme="majorHAnsi"/>
                <w:sz w:val="22"/>
              </w:rPr>
            </w:pPr>
            <w:r w:rsidRPr="00140B1E">
              <w:t>48%</w:t>
            </w:r>
          </w:p>
        </w:tc>
        <w:tc>
          <w:tcPr>
            <w:tcW w:w="737" w:type="dxa"/>
            <w:tcBorders>
              <w:top w:val="single" w:sz="4" w:space="0" w:color="auto"/>
              <w:left w:val="nil"/>
              <w:bottom w:val="nil"/>
              <w:right w:val="nil"/>
            </w:tcBorders>
            <w:shd w:val="clear" w:color="auto" w:fill="auto"/>
            <w:vAlign w:val="center"/>
          </w:tcPr>
          <w:p w14:paraId="0C09B338" w14:textId="346CB14B" w:rsidR="00A20625" w:rsidRPr="00372D3F" w:rsidRDefault="00A20625" w:rsidP="00A20625">
            <w:pPr>
              <w:spacing w:after="0" w:line="240" w:lineRule="auto"/>
              <w:jc w:val="center"/>
              <w:rPr>
                <w:rFonts w:asciiTheme="majorHAnsi" w:hAnsiTheme="majorHAnsi" w:cstheme="majorHAnsi"/>
                <w:sz w:val="22"/>
              </w:rPr>
            </w:pPr>
            <w:r w:rsidRPr="00140B1E">
              <w:t>48%</w:t>
            </w:r>
          </w:p>
        </w:tc>
        <w:tc>
          <w:tcPr>
            <w:tcW w:w="737" w:type="dxa"/>
            <w:tcBorders>
              <w:top w:val="single" w:sz="4" w:space="0" w:color="auto"/>
              <w:left w:val="nil"/>
              <w:bottom w:val="nil"/>
              <w:right w:val="nil"/>
            </w:tcBorders>
            <w:shd w:val="clear" w:color="auto" w:fill="auto"/>
            <w:vAlign w:val="center"/>
          </w:tcPr>
          <w:p w14:paraId="6B2D2CE7" w14:textId="7B898551" w:rsidR="00A20625" w:rsidRPr="00372D3F" w:rsidRDefault="00A20625" w:rsidP="00A20625">
            <w:pPr>
              <w:spacing w:after="0" w:line="240" w:lineRule="auto"/>
              <w:jc w:val="center"/>
              <w:rPr>
                <w:rFonts w:asciiTheme="majorHAnsi" w:hAnsiTheme="majorHAnsi" w:cstheme="majorHAnsi"/>
                <w:sz w:val="22"/>
              </w:rPr>
            </w:pPr>
            <w:r w:rsidRPr="00140B1E">
              <w:t>48%</w:t>
            </w:r>
          </w:p>
        </w:tc>
        <w:tc>
          <w:tcPr>
            <w:tcW w:w="737" w:type="dxa"/>
            <w:tcBorders>
              <w:top w:val="single" w:sz="4" w:space="0" w:color="auto"/>
              <w:left w:val="nil"/>
              <w:bottom w:val="nil"/>
              <w:right w:val="nil"/>
            </w:tcBorders>
            <w:shd w:val="clear" w:color="auto" w:fill="auto"/>
            <w:vAlign w:val="center"/>
          </w:tcPr>
          <w:p w14:paraId="3F2097A6" w14:textId="7174C148" w:rsidR="00A20625" w:rsidRPr="00372D3F" w:rsidRDefault="00A20625" w:rsidP="00A20625">
            <w:pPr>
              <w:spacing w:after="0" w:line="240" w:lineRule="auto"/>
              <w:jc w:val="center"/>
              <w:rPr>
                <w:rFonts w:asciiTheme="majorHAnsi" w:hAnsiTheme="majorHAnsi" w:cstheme="majorHAnsi"/>
                <w:sz w:val="22"/>
              </w:rPr>
            </w:pPr>
            <w:r w:rsidRPr="00140B1E">
              <w:t>48%</w:t>
            </w:r>
          </w:p>
        </w:tc>
        <w:tc>
          <w:tcPr>
            <w:tcW w:w="737" w:type="dxa"/>
            <w:tcBorders>
              <w:top w:val="single" w:sz="4" w:space="0" w:color="auto"/>
              <w:left w:val="nil"/>
              <w:bottom w:val="nil"/>
              <w:right w:val="nil"/>
            </w:tcBorders>
            <w:shd w:val="clear" w:color="auto" w:fill="auto"/>
            <w:vAlign w:val="center"/>
          </w:tcPr>
          <w:p w14:paraId="60668D59" w14:textId="3F8D757C" w:rsidR="00A20625" w:rsidRPr="00372D3F" w:rsidRDefault="00A20625" w:rsidP="00A20625">
            <w:pPr>
              <w:spacing w:after="0" w:line="240" w:lineRule="auto"/>
              <w:jc w:val="center"/>
              <w:rPr>
                <w:rFonts w:asciiTheme="majorHAnsi" w:hAnsiTheme="majorHAnsi" w:cstheme="majorHAnsi"/>
                <w:sz w:val="22"/>
              </w:rPr>
            </w:pPr>
            <w:r w:rsidRPr="00140B1E">
              <w:t>48%</w:t>
            </w:r>
          </w:p>
        </w:tc>
      </w:tr>
      <w:tr w:rsidR="00A20625" w:rsidRPr="007D5465" w14:paraId="158D6AE2" w14:textId="77777777" w:rsidTr="00A20625">
        <w:trPr>
          <w:gridAfter w:val="1"/>
          <w:wAfter w:w="2152" w:type="dxa"/>
          <w:trHeight w:val="794"/>
        </w:trPr>
        <w:tc>
          <w:tcPr>
            <w:tcW w:w="4536" w:type="dxa"/>
            <w:tcBorders>
              <w:top w:val="single" w:sz="4" w:space="0" w:color="auto"/>
              <w:bottom w:val="single" w:sz="4" w:space="0" w:color="auto"/>
              <w:right w:val="single" w:sz="4" w:space="0" w:color="auto"/>
            </w:tcBorders>
            <w:vAlign w:val="center"/>
          </w:tcPr>
          <w:p w14:paraId="757BF34B" w14:textId="77777777" w:rsidR="00A20625" w:rsidRPr="00A8737D" w:rsidRDefault="00A20625" w:rsidP="00A20625">
            <w:pPr>
              <w:tabs>
                <w:tab w:val="left" w:pos="1169"/>
              </w:tabs>
              <w:spacing w:after="0" w:line="240" w:lineRule="auto"/>
              <w:jc w:val="left"/>
              <w:rPr>
                <w:sz w:val="22"/>
              </w:rPr>
            </w:pPr>
            <w:r w:rsidRPr="00A8737D">
              <w:rPr>
                <w:sz w:val="22"/>
              </w:rPr>
              <w:t>Priorytet 1b</w:t>
            </w:r>
            <w:r w:rsidRPr="00A8737D">
              <w:rPr>
                <w:sz w:val="22"/>
              </w:rPr>
              <w:br/>
            </w:r>
            <w:r w:rsidRPr="00A8737D">
              <w:rPr>
                <w:rFonts w:eastAsia="Calibri"/>
                <w:sz w:val="22"/>
              </w:rPr>
              <w:t>Dotacje na wkład własny</w:t>
            </w:r>
          </w:p>
        </w:tc>
        <w:tc>
          <w:tcPr>
            <w:tcW w:w="737" w:type="dxa"/>
            <w:tcBorders>
              <w:top w:val="nil"/>
              <w:left w:val="single" w:sz="4" w:space="0" w:color="auto"/>
              <w:bottom w:val="nil"/>
              <w:right w:val="nil"/>
            </w:tcBorders>
            <w:shd w:val="clear" w:color="auto" w:fill="auto"/>
            <w:vAlign w:val="center"/>
          </w:tcPr>
          <w:p w14:paraId="2F31783D" w14:textId="3F0F5845" w:rsidR="00A20625" w:rsidRPr="00372D3F" w:rsidRDefault="00A20625" w:rsidP="00A20625">
            <w:pPr>
              <w:spacing w:after="0" w:line="240" w:lineRule="auto"/>
              <w:jc w:val="center"/>
              <w:rPr>
                <w:rFonts w:asciiTheme="majorHAnsi" w:hAnsiTheme="majorHAnsi" w:cstheme="majorHAnsi"/>
                <w:sz w:val="22"/>
              </w:rPr>
            </w:pPr>
            <w:r w:rsidRPr="00140B1E">
              <w:t>0%</w:t>
            </w:r>
          </w:p>
        </w:tc>
        <w:tc>
          <w:tcPr>
            <w:tcW w:w="737" w:type="dxa"/>
            <w:tcBorders>
              <w:top w:val="nil"/>
              <w:left w:val="nil"/>
              <w:bottom w:val="nil"/>
              <w:right w:val="nil"/>
            </w:tcBorders>
            <w:shd w:val="clear" w:color="auto" w:fill="auto"/>
            <w:vAlign w:val="center"/>
          </w:tcPr>
          <w:p w14:paraId="17DE7688" w14:textId="60339B4F"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bottom w:val="nil"/>
              <w:right w:val="nil"/>
            </w:tcBorders>
            <w:shd w:val="clear" w:color="auto" w:fill="auto"/>
            <w:vAlign w:val="center"/>
          </w:tcPr>
          <w:p w14:paraId="4C7605FD" w14:textId="66522A1A"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bottom w:val="nil"/>
              <w:right w:val="nil"/>
            </w:tcBorders>
            <w:shd w:val="clear" w:color="auto" w:fill="auto"/>
            <w:vAlign w:val="center"/>
          </w:tcPr>
          <w:p w14:paraId="66D098CB" w14:textId="44C0E006"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bottom w:val="nil"/>
              <w:right w:val="nil"/>
            </w:tcBorders>
            <w:shd w:val="clear" w:color="auto" w:fill="auto"/>
            <w:vAlign w:val="center"/>
          </w:tcPr>
          <w:p w14:paraId="6B829470" w14:textId="7AF1AAC3"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bottom w:val="nil"/>
              <w:right w:val="nil"/>
            </w:tcBorders>
            <w:shd w:val="clear" w:color="auto" w:fill="auto"/>
            <w:vAlign w:val="center"/>
          </w:tcPr>
          <w:p w14:paraId="0B856DB9" w14:textId="02AC0E52"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bottom w:val="nil"/>
              <w:right w:val="nil"/>
            </w:tcBorders>
            <w:shd w:val="clear" w:color="auto" w:fill="auto"/>
            <w:vAlign w:val="center"/>
          </w:tcPr>
          <w:p w14:paraId="18CF0E61" w14:textId="3A6246AA"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bottom w:val="nil"/>
              <w:right w:val="nil"/>
            </w:tcBorders>
            <w:shd w:val="clear" w:color="auto" w:fill="auto"/>
            <w:vAlign w:val="center"/>
          </w:tcPr>
          <w:p w14:paraId="5A674D3E" w14:textId="4361C87C"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bottom w:val="nil"/>
              <w:right w:val="nil"/>
            </w:tcBorders>
            <w:shd w:val="clear" w:color="auto" w:fill="auto"/>
            <w:vAlign w:val="center"/>
          </w:tcPr>
          <w:p w14:paraId="480B3198" w14:textId="6EC9663D"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bottom w:val="nil"/>
              <w:right w:val="nil"/>
            </w:tcBorders>
            <w:shd w:val="clear" w:color="auto" w:fill="auto"/>
            <w:vAlign w:val="center"/>
          </w:tcPr>
          <w:p w14:paraId="707A6789" w14:textId="021529BA"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bottom w:val="nil"/>
              <w:right w:val="nil"/>
            </w:tcBorders>
            <w:shd w:val="clear" w:color="auto" w:fill="auto"/>
            <w:vAlign w:val="center"/>
          </w:tcPr>
          <w:p w14:paraId="22E2F260" w14:textId="5594AC26"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bottom w:val="nil"/>
              <w:right w:val="nil"/>
            </w:tcBorders>
            <w:shd w:val="clear" w:color="auto" w:fill="auto"/>
            <w:vAlign w:val="center"/>
          </w:tcPr>
          <w:p w14:paraId="77790D3C" w14:textId="79FB9FFC"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bottom w:val="nil"/>
              <w:right w:val="nil"/>
            </w:tcBorders>
            <w:shd w:val="clear" w:color="auto" w:fill="auto"/>
            <w:vAlign w:val="center"/>
          </w:tcPr>
          <w:p w14:paraId="79FDB81F" w14:textId="31B02339" w:rsidR="00A20625" w:rsidRPr="00372D3F" w:rsidRDefault="00A20625" w:rsidP="00A20625">
            <w:pPr>
              <w:spacing w:after="0" w:line="240" w:lineRule="auto"/>
              <w:jc w:val="center"/>
              <w:rPr>
                <w:rFonts w:asciiTheme="majorHAnsi" w:hAnsiTheme="majorHAnsi" w:cstheme="majorHAnsi"/>
                <w:sz w:val="22"/>
              </w:rPr>
            </w:pPr>
            <w:r w:rsidRPr="00140B1E">
              <w:t>4%</w:t>
            </w:r>
          </w:p>
        </w:tc>
      </w:tr>
      <w:tr w:rsidR="00A20625" w:rsidRPr="007D5465" w14:paraId="2F01511C" w14:textId="77777777" w:rsidTr="00A20625">
        <w:trPr>
          <w:gridAfter w:val="1"/>
          <w:wAfter w:w="2152" w:type="dxa"/>
          <w:trHeight w:val="850"/>
        </w:trPr>
        <w:tc>
          <w:tcPr>
            <w:tcW w:w="4536" w:type="dxa"/>
            <w:tcBorders>
              <w:top w:val="single" w:sz="4" w:space="0" w:color="auto"/>
              <w:bottom w:val="single" w:sz="4" w:space="0" w:color="auto"/>
              <w:right w:val="single" w:sz="4" w:space="0" w:color="auto"/>
            </w:tcBorders>
            <w:vAlign w:val="center"/>
          </w:tcPr>
          <w:p w14:paraId="6D4A300C" w14:textId="6C3A679F" w:rsidR="00A20625" w:rsidRPr="00A8737D" w:rsidRDefault="00A20625" w:rsidP="00A20625">
            <w:pPr>
              <w:tabs>
                <w:tab w:val="left" w:pos="1169"/>
              </w:tabs>
              <w:spacing w:after="0" w:line="240" w:lineRule="auto"/>
              <w:jc w:val="left"/>
              <w:rPr>
                <w:b/>
                <w:sz w:val="22"/>
              </w:rPr>
            </w:pPr>
            <w:r w:rsidRPr="00A8737D">
              <w:rPr>
                <w:sz w:val="22"/>
              </w:rPr>
              <w:t>Priorytet 2a</w:t>
            </w:r>
            <w:r w:rsidRPr="00A8737D">
              <w:rPr>
                <w:sz w:val="22"/>
              </w:rPr>
              <w:br/>
            </w:r>
            <w:r w:rsidRPr="00A8737D">
              <w:rPr>
                <w:rFonts w:eastAsia="Calibri"/>
                <w:sz w:val="22"/>
                <w:lang w:eastAsia="pl-PL"/>
              </w:rPr>
              <w:t>Dotacje operacyjne na wsparcie budowy początkowych kapitałów żelaznych</w:t>
            </w:r>
          </w:p>
        </w:tc>
        <w:tc>
          <w:tcPr>
            <w:tcW w:w="737" w:type="dxa"/>
            <w:tcBorders>
              <w:top w:val="nil"/>
              <w:left w:val="single" w:sz="4" w:space="0" w:color="auto"/>
              <w:bottom w:val="nil"/>
              <w:right w:val="nil"/>
            </w:tcBorders>
            <w:shd w:val="clear" w:color="auto" w:fill="auto"/>
            <w:vAlign w:val="center"/>
          </w:tcPr>
          <w:p w14:paraId="5222354B" w14:textId="49D030CC" w:rsidR="00A20625" w:rsidRPr="00372D3F" w:rsidRDefault="00A20625" w:rsidP="00A20625">
            <w:pPr>
              <w:spacing w:after="0" w:line="240" w:lineRule="auto"/>
              <w:jc w:val="center"/>
              <w:rPr>
                <w:rFonts w:asciiTheme="majorHAnsi" w:hAnsiTheme="majorHAnsi" w:cstheme="majorHAnsi"/>
                <w:sz w:val="22"/>
              </w:rPr>
            </w:pPr>
            <w:r w:rsidRPr="00140B1E">
              <w:t>10%</w:t>
            </w:r>
          </w:p>
        </w:tc>
        <w:tc>
          <w:tcPr>
            <w:tcW w:w="737" w:type="dxa"/>
            <w:tcBorders>
              <w:top w:val="nil"/>
              <w:left w:val="nil"/>
              <w:bottom w:val="nil"/>
              <w:right w:val="nil"/>
            </w:tcBorders>
            <w:shd w:val="clear" w:color="auto" w:fill="auto"/>
            <w:vAlign w:val="center"/>
          </w:tcPr>
          <w:p w14:paraId="05635EAF" w14:textId="6429262A" w:rsidR="00A20625" w:rsidRPr="00372D3F" w:rsidRDefault="00A20625" w:rsidP="00A20625">
            <w:pPr>
              <w:spacing w:after="0" w:line="240" w:lineRule="auto"/>
              <w:jc w:val="center"/>
              <w:rPr>
                <w:rFonts w:asciiTheme="majorHAnsi" w:hAnsiTheme="majorHAnsi" w:cstheme="majorHAnsi"/>
                <w:sz w:val="22"/>
              </w:rPr>
            </w:pPr>
            <w:r w:rsidRPr="00140B1E">
              <w:t>10%</w:t>
            </w:r>
          </w:p>
        </w:tc>
        <w:tc>
          <w:tcPr>
            <w:tcW w:w="737" w:type="dxa"/>
            <w:tcBorders>
              <w:top w:val="nil"/>
              <w:left w:val="nil"/>
              <w:bottom w:val="nil"/>
              <w:right w:val="nil"/>
            </w:tcBorders>
            <w:shd w:val="clear" w:color="auto" w:fill="auto"/>
            <w:vAlign w:val="center"/>
          </w:tcPr>
          <w:p w14:paraId="50340A48" w14:textId="27F3F6DA" w:rsidR="00A20625" w:rsidRPr="00372D3F" w:rsidRDefault="00A20625" w:rsidP="00A20625">
            <w:pPr>
              <w:spacing w:after="0" w:line="240" w:lineRule="auto"/>
              <w:jc w:val="center"/>
              <w:rPr>
                <w:rFonts w:asciiTheme="majorHAnsi" w:hAnsiTheme="majorHAnsi" w:cstheme="majorHAnsi"/>
                <w:sz w:val="22"/>
              </w:rPr>
            </w:pPr>
            <w:r w:rsidRPr="00140B1E">
              <w:t>10%</w:t>
            </w:r>
          </w:p>
        </w:tc>
        <w:tc>
          <w:tcPr>
            <w:tcW w:w="737" w:type="dxa"/>
            <w:tcBorders>
              <w:top w:val="nil"/>
              <w:left w:val="nil"/>
              <w:bottom w:val="nil"/>
              <w:right w:val="nil"/>
            </w:tcBorders>
            <w:shd w:val="clear" w:color="auto" w:fill="auto"/>
            <w:vAlign w:val="center"/>
          </w:tcPr>
          <w:p w14:paraId="777B5A86" w14:textId="3D1BB482" w:rsidR="00A20625" w:rsidRPr="00372D3F" w:rsidRDefault="00A20625" w:rsidP="00A20625">
            <w:pPr>
              <w:spacing w:after="0" w:line="240" w:lineRule="auto"/>
              <w:jc w:val="center"/>
              <w:rPr>
                <w:rFonts w:asciiTheme="majorHAnsi" w:hAnsiTheme="majorHAnsi" w:cstheme="majorHAnsi"/>
                <w:sz w:val="22"/>
              </w:rPr>
            </w:pPr>
            <w:r w:rsidRPr="00140B1E">
              <w:t>10%</w:t>
            </w:r>
          </w:p>
        </w:tc>
        <w:tc>
          <w:tcPr>
            <w:tcW w:w="737" w:type="dxa"/>
            <w:tcBorders>
              <w:top w:val="nil"/>
              <w:left w:val="nil"/>
              <w:bottom w:val="nil"/>
              <w:right w:val="nil"/>
            </w:tcBorders>
            <w:shd w:val="clear" w:color="auto" w:fill="auto"/>
            <w:vAlign w:val="center"/>
          </w:tcPr>
          <w:p w14:paraId="524CB5DF" w14:textId="7D02337E" w:rsidR="00A20625" w:rsidRPr="00372D3F" w:rsidRDefault="00A20625" w:rsidP="00A20625">
            <w:pPr>
              <w:spacing w:after="0" w:line="240" w:lineRule="auto"/>
              <w:jc w:val="center"/>
              <w:rPr>
                <w:rFonts w:asciiTheme="majorHAnsi" w:hAnsiTheme="majorHAnsi" w:cstheme="majorHAnsi"/>
                <w:sz w:val="22"/>
              </w:rPr>
            </w:pPr>
            <w:r w:rsidRPr="00140B1E">
              <w:t>10%</w:t>
            </w:r>
          </w:p>
        </w:tc>
        <w:tc>
          <w:tcPr>
            <w:tcW w:w="737" w:type="dxa"/>
            <w:tcBorders>
              <w:top w:val="nil"/>
              <w:left w:val="nil"/>
              <w:bottom w:val="nil"/>
              <w:right w:val="nil"/>
            </w:tcBorders>
            <w:shd w:val="clear" w:color="auto" w:fill="auto"/>
            <w:vAlign w:val="center"/>
          </w:tcPr>
          <w:p w14:paraId="63EA1B21" w14:textId="01D66FDE" w:rsidR="00A20625" w:rsidRPr="00372D3F" w:rsidRDefault="00A20625" w:rsidP="00A20625">
            <w:pPr>
              <w:spacing w:after="0" w:line="240" w:lineRule="auto"/>
              <w:jc w:val="center"/>
              <w:rPr>
                <w:rFonts w:asciiTheme="majorHAnsi" w:hAnsiTheme="majorHAnsi" w:cstheme="majorHAnsi"/>
                <w:sz w:val="22"/>
              </w:rPr>
            </w:pPr>
            <w:r w:rsidRPr="00140B1E">
              <w:t>10%</w:t>
            </w:r>
          </w:p>
        </w:tc>
        <w:tc>
          <w:tcPr>
            <w:tcW w:w="737" w:type="dxa"/>
            <w:tcBorders>
              <w:top w:val="nil"/>
              <w:left w:val="nil"/>
              <w:bottom w:val="nil"/>
              <w:right w:val="nil"/>
            </w:tcBorders>
            <w:shd w:val="clear" w:color="auto" w:fill="auto"/>
            <w:vAlign w:val="center"/>
          </w:tcPr>
          <w:p w14:paraId="271FA924" w14:textId="60D9314E" w:rsidR="00A20625" w:rsidRPr="00372D3F" w:rsidRDefault="00A20625" w:rsidP="00A20625">
            <w:pPr>
              <w:spacing w:after="0" w:line="240" w:lineRule="auto"/>
              <w:jc w:val="center"/>
              <w:rPr>
                <w:rFonts w:asciiTheme="majorHAnsi" w:hAnsiTheme="majorHAnsi" w:cstheme="majorHAnsi"/>
                <w:sz w:val="22"/>
              </w:rPr>
            </w:pPr>
            <w:r w:rsidRPr="00140B1E">
              <w:t>10%</w:t>
            </w:r>
          </w:p>
        </w:tc>
        <w:tc>
          <w:tcPr>
            <w:tcW w:w="737" w:type="dxa"/>
            <w:tcBorders>
              <w:top w:val="nil"/>
              <w:left w:val="nil"/>
              <w:bottom w:val="nil"/>
              <w:right w:val="nil"/>
            </w:tcBorders>
            <w:shd w:val="clear" w:color="auto" w:fill="auto"/>
            <w:vAlign w:val="center"/>
          </w:tcPr>
          <w:p w14:paraId="04A88FFD" w14:textId="0CCECCC3" w:rsidR="00A20625" w:rsidRPr="00372D3F" w:rsidRDefault="00A20625" w:rsidP="00A20625">
            <w:pPr>
              <w:spacing w:after="0" w:line="240" w:lineRule="auto"/>
              <w:jc w:val="center"/>
              <w:rPr>
                <w:rFonts w:asciiTheme="majorHAnsi" w:hAnsiTheme="majorHAnsi" w:cstheme="majorHAnsi"/>
                <w:sz w:val="22"/>
              </w:rPr>
            </w:pPr>
            <w:r w:rsidRPr="00140B1E">
              <w:t>10%</w:t>
            </w:r>
          </w:p>
        </w:tc>
        <w:tc>
          <w:tcPr>
            <w:tcW w:w="737" w:type="dxa"/>
            <w:tcBorders>
              <w:top w:val="nil"/>
              <w:left w:val="nil"/>
              <w:bottom w:val="nil"/>
              <w:right w:val="nil"/>
            </w:tcBorders>
            <w:shd w:val="clear" w:color="auto" w:fill="auto"/>
            <w:vAlign w:val="center"/>
          </w:tcPr>
          <w:p w14:paraId="51A8A271" w14:textId="207B66EE" w:rsidR="00A20625" w:rsidRPr="00372D3F" w:rsidRDefault="00A20625" w:rsidP="00A20625">
            <w:pPr>
              <w:spacing w:after="0" w:line="240" w:lineRule="auto"/>
              <w:jc w:val="center"/>
              <w:rPr>
                <w:rFonts w:asciiTheme="majorHAnsi" w:hAnsiTheme="majorHAnsi" w:cstheme="majorHAnsi"/>
                <w:sz w:val="22"/>
              </w:rPr>
            </w:pPr>
            <w:r w:rsidRPr="00140B1E">
              <w:t>10%</w:t>
            </w:r>
          </w:p>
        </w:tc>
        <w:tc>
          <w:tcPr>
            <w:tcW w:w="737" w:type="dxa"/>
            <w:tcBorders>
              <w:top w:val="nil"/>
              <w:left w:val="nil"/>
              <w:bottom w:val="nil"/>
              <w:right w:val="nil"/>
            </w:tcBorders>
            <w:shd w:val="clear" w:color="auto" w:fill="auto"/>
            <w:vAlign w:val="center"/>
          </w:tcPr>
          <w:p w14:paraId="4D6CB878" w14:textId="5FA79D83" w:rsidR="00A20625" w:rsidRPr="00372D3F" w:rsidRDefault="00A20625" w:rsidP="00A20625">
            <w:pPr>
              <w:spacing w:after="0" w:line="240" w:lineRule="auto"/>
              <w:jc w:val="center"/>
              <w:rPr>
                <w:rFonts w:asciiTheme="majorHAnsi" w:hAnsiTheme="majorHAnsi" w:cstheme="majorHAnsi"/>
                <w:sz w:val="22"/>
              </w:rPr>
            </w:pPr>
            <w:r w:rsidRPr="00140B1E">
              <w:t>10%</w:t>
            </w:r>
          </w:p>
        </w:tc>
        <w:tc>
          <w:tcPr>
            <w:tcW w:w="737" w:type="dxa"/>
            <w:tcBorders>
              <w:top w:val="nil"/>
              <w:left w:val="nil"/>
              <w:bottom w:val="nil"/>
              <w:right w:val="nil"/>
            </w:tcBorders>
            <w:shd w:val="clear" w:color="auto" w:fill="auto"/>
            <w:vAlign w:val="center"/>
          </w:tcPr>
          <w:p w14:paraId="5EEDB141" w14:textId="46F3E782" w:rsidR="00A20625" w:rsidRPr="00372D3F" w:rsidRDefault="00A20625" w:rsidP="00A20625">
            <w:pPr>
              <w:spacing w:after="0" w:line="240" w:lineRule="auto"/>
              <w:jc w:val="center"/>
              <w:rPr>
                <w:rFonts w:asciiTheme="majorHAnsi" w:hAnsiTheme="majorHAnsi" w:cstheme="majorHAnsi"/>
                <w:sz w:val="22"/>
              </w:rPr>
            </w:pPr>
            <w:r w:rsidRPr="00140B1E">
              <w:t>10%</w:t>
            </w:r>
          </w:p>
        </w:tc>
        <w:tc>
          <w:tcPr>
            <w:tcW w:w="737" w:type="dxa"/>
            <w:tcBorders>
              <w:top w:val="nil"/>
              <w:left w:val="nil"/>
              <w:bottom w:val="nil"/>
              <w:right w:val="nil"/>
            </w:tcBorders>
            <w:shd w:val="clear" w:color="auto" w:fill="auto"/>
            <w:vAlign w:val="center"/>
          </w:tcPr>
          <w:p w14:paraId="5FB5E666" w14:textId="64210AB5" w:rsidR="00A20625" w:rsidRPr="00372D3F" w:rsidRDefault="00A20625" w:rsidP="00A20625">
            <w:pPr>
              <w:spacing w:after="0" w:line="240" w:lineRule="auto"/>
              <w:jc w:val="center"/>
              <w:rPr>
                <w:rFonts w:asciiTheme="majorHAnsi" w:hAnsiTheme="majorHAnsi" w:cstheme="majorHAnsi"/>
                <w:sz w:val="22"/>
              </w:rPr>
            </w:pPr>
            <w:r w:rsidRPr="00140B1E">
              <w:t>10%</w:t>
            </w:r>
          </w:p>
        </w:tc>
        <w:tc>
          <w:tcPr>
            <w:tcW w:w="737" w:type="dxa"/>
            <w:tcBorders>
              <w:top w:val="nil"/>
              <w:left w:val="nil"/>
              <w:bottom w:val="nil"/>
              <w:right w:val="nil"/>
            </w:tcBorders>
            <w:shd w:val="clear" w:color="auto" w:fill="auto"/>
            <w:vAlign w:val="center"/>
          </w:tcPr>
          <w:p w14:paraId="6054C473" w14:textId="607621F1" w:rsidR="00A20625" w:rsidRPr="00372D3F" w:rsidRDefault="00A20625" w:rsidP="00A20625">
            <w:pPr>
              <w:spacing w:after="0" w:line="240" w:lineRule="auto"/>
              <w:jc w:val="center"/>
              <w:rPr>
                <w:rFonts w:asciiTheme="majorHAnsi" w:hAnsiTheme="majorHAnsi" w:cstheme="majorHAnsi"/>
                <w:sz w:val="22"/>
              </w:rPr>
            </w:pPr>
            <w:r w:rsidRPr="00140B1E">
              <w:t>10%</w:t>
            </w:r>
          </w:p>
        </w:tc>
      </w:tr>
      <w:tr w:rsidR="00A20625" w:rsidRPr="007D5465" w14:paraId="64FD0DEF" w14:textId="77777777" w:rsidTr="00A20625">
        <w:trPr>
          <w:gridAfter w:val="1"/>
          <w:wAfter w:w="2152" w:type="dxa"/>
          <w:trHeight w:val="680"/>
        </w:trPr>
        <w:tc>
          <w:tcPr>
            <w:tcW w:w="4536" w:type="dxa"/>
            <w:tcBorders>
              <w:top w:val="single" w:sz="4" w:space="0" w:color="auto"/>
              <w:bottom w:val="single" w:sz="4" w:space="0" w:color="auto"/>
              <w:right w:val="single" w:sz="4" w:space="0" w:color="auto"/>
            </w:tcBorders>
            <w:vAlign w:val="center"/>
          </w:tcPr>
          <w:p w14:paraId="60917723" w14:textId="77777777" w:rsidR="00A20625" w:rsidRPr="00A8737D" w:rsidRDefault="00A20625" w:rsidP="00A20625">
            <w:pPr>
              <w:tabs>
                <w:tab w:val="left" w:pos="1169"/>
              </w:tabs>
              <w:spacing w:after="0" w:line="240" w:lineRule="auto"/>
              <w:jc w:val="left"/>
              <w:rPr>
                <w:sz w:val="22"/>
              </w:rPr>
            </w:pPr>
            <w:r w:rsidRPr="00A8737D">
              <w:rPr>
                <w:sz w:val="22"/>
              </w:rPr>
              <w:t>Priorytet 2b</w:t>
            </w:r>
            <w:r w:rsidRPr="00A8737D">
              <w:rPr>
                <w:sz w:val="22"/>
              </w:rPr>
              <w:br/>
            </w:r>
            <w:r w:rsidRPr="00A8737D">
              <w:rPr>
                <w:rFonts w:eastAsia="Calibri"/>
                <w:sz w:val="22"/>
                <w:lang w:eastAsia="pl-PL"/>
              </w:rPr>
              <w:t>Dofinansowanie początkowych kapitałów żelaznych</w:t>
            </w:r>
          </w:p>
        </w:tc>
        <w:tc>
          <w:tcPr>
            <w:tcW w:w="737" w:type="dxa"/>
            <w:tcBorders>
              <w:top w:val="nil"/>
              <w:left w:val="single" w:sz="4" w:space="0" w:color="auto"/>
              <w:bottom w:val="nil"/>
              <w:right w:val="nil"/>
            </w:tcBorders>
            <w:shd w:val="clear" w:color="auto" w:fill="auto"/>
            <w:vAlign w:val="center"/>
          </w:tcPr>
          <w:p w14:paraId="47945CFF" w14:textId="52F16EE5" w:rsidR="00A20625" w:rsidRPr="00372D3F" w:rsidRDefault="00A20625" w:rsidP="00A20625">
            <w:pPr>
              <w:spacing w:after="0" w:line="240" w:lineRule="auto"/>
              <w:jc w:val="center"/>
              <w:rPr>
                <w:rFonts w:asciiTheme="majorHAnsi" w:hAnsiTheme="majorHAnsi" w:cstheme="majorHAnsi"/>
                <w:sz w:val="22"/>
              </w:rPr>
            </w:pPr>
            <w:r w:rsidRPr="00140B1E">
              <w:t>0%</w:t>
            </w:r>
          </w:p>
        </w:tc>
        <w:tc>
          <w:tcPr>
            <w:tcW w:w="737" w:type="dxa"/>
            <w:tcBorders>
              <w:top w:val="nil"/>
              <w:left w:val="nil"/>
              <w:bottom w:val="nil"/>
              <w:right w:val="nil"/>
            </w:tcBorders>
            <w:shd w:val="clear" w:color="auto" w:fill="auto"/>
            <w:vAlign w:val="center"/>
          </w:tcPr>
          <w:p w14:paraId="21C06FF7" w14:textId="6DB3A66B" w:rsidR="00A20625" w:rsidRPr="00372D3F" w:rsidRDefault="00A20625" w:rsidP="00A20625">
            <w:pPr>
              <w:spacing w:after="0" w:line="240" w:lineRule="auto"/>
              <w:jc w:val="center"/>
              <w:rPr>
                <w:rFonts w:asciiTheme="majorHAnsi" w:hAnsiTheme="majorHAnsi" w:cstheme="majorHAnsi"/>
                <w:sz w:val="22"/>
              </w:rPr>
            </w:pPr>
            <w:r w:rsidRPr="00140B1E">
              <w:t>0%</w:t>
            </w:r>
          </w:p>
        </w:tc>
        <w:tc>
          <w:tcPr>
            <w:tcW w:w="737" w:type="dxa"/>
            <w:tcBorders>
              <w:top w:val="nil"/>
              <w:left w:val="nil"/>
              <w:bottom w:val="nil"/>
              <w:right w:val="nil"/>
            </w:tcBorders>
            <w:shd w:val="clear" w:color="auto" w:fill="auto"/>
            <w:vAlign w:val="center"/>
          </w:tcPr>
          <w:p w14:paraId="6E941B96" w14:textId="5E45EB69" w:rsidR="00A20625" w:rsidRPr="00372D3F" w:rsidRDefault="00A20625" w:rsidP="00A20625">
            <w:pPr>
              <w:spacing w:after="0" w:line="240" w:lineRule="auto"/>
              <w:jc w:val="center"/>
              <w:rPr>
                <w:rFonts w:asciiTheme="majorHAnsi" w:hAnsiTheme="majorHAnsi" w:cstheme="majorHAnsi"/>
                <w:sz w:val="22"/>
              </w:rPr>
            </w:pPr>
            <w:r w:rsidRPr="00140B1E">
              <w:t>0%</w:t>
            </w:r>
          </w:p>
        </w:tc>
        <w:tc>
          <w:tcPr>
            <w:tcW w:w="737" w:type="dxa"/>
            <w:tcBorders>
              <w:top w:val="nil"/>
              <w:left w:val="nil"/>
              <w:bottom w:val="nil"/>
              <w:right w:val="nil"/>
            </w:tcBorders>
            <w:shd w:val="clear" w:color="auto" w:fill="auto"/>
            <w:vAlign w:val="center"/>
          </w:tcPr>
          <w:p w14:paraId="42F346EC" w14:textId="2E2DB5A8" w:rsidR="00A20625" w:rsidRPr="00372D3F" w:rsidRDefault="00A20625" w:rsidP="00A20625">
            <w:pPr>
              <w:spacing w:after="0" w:line="240" w:lineRule="auto"/>
              <w:jc w:val="center"/>
              <w:rPr>
                <w:rFonts w:asciiTheme="majorHAnsi" w:hAnsiTheme="majorHAnsi" w:cstheme="majorHAnsi"/>
                <w:sz w:val="22"/>
              </w:rPr>
            </w:pPr>
            <w:r w:rsidRPr="00140B1E">
              <w:t>5%</w:t>
            </w:r>
          </w:p>
        </w:tc>
        <w:tc>
          <w:tcPr>
            <w:tcW w:w="737" w:type="dxa"/>
            <w:tcBorders>
              <w:top w:val="nil"/>
              <w:left w:val="nil"/>
              <w:bottom w:val="nil"/>
              <w:right w:val="nil"/>
            </w:tcBorders>
            <w:shd w:val="clear" w:color="auto" w:fill="auto"/>
            <w:vAlign w:val="center"/>
          </w:tcPr>
          <w:p w14:paraId="09F4A846" w14:textId="25390C49" w:rsidR="00A20625" w:rsidRPr="00372D3F" w:rsidRDefault="00A20625" w:rsidP="00A20625">
            <w:pPr>
              <w:spacing w:after="0" w:line="240" w:lineRule="auto"/>
              <w:jc w:val="center"/>
              <w:rPr>
                <w:rFonts w:asciiTheme="majorHAnsi" w:hAnsiTheme="majorHAnsi" w:cstheme="majorHAnsi"/>
                <w:sz w:val="22"/>
              </w:rPr>
            </w:pPr>
            <w:r w:rsidRPr="00140B1E">
              <w:t>5%</w:t>
            </w:r>
          </w:p>
        </w:tc>
        <w:tc>
          <w:tcPr>
            <w:tcW w:w="737" w:type="dxa"/>
            <w:tcBorders>
              <w:top w:val="nil"/>
              <w:left w:val="nil"/>
              <w:bottom w:val="nil"/>
              <w:right w:val="nil"/>
            </w:tcBorders>
            <w:shd w:val="clear" w:color="auto" w:fill="auto"/>
            <w:vAlign w:val="center"/>
          </w:tcPr>
          <w:p w14:paraId="09E8456C" w14:textId="42DDB193" w:rsidR="00A20625" w:rsidRPr="00372D3F" w:rsidRDefault="00A20625" w:rsidP="00A20625">
            <w:pPr>
              <w:spacing w:after="0" w:line="240" w:lineRule="auto"/>
              <w:jc w:val="center"/>
              <w:rPr>
                <w:rFonts w:asciiTheme="majorHAnsi" w:hAnsiTheme="majorHAnsi" w:cstheme="majorHAnsi"/>
                <w:sz w:val="22"/>
              </w:rPr>
            </w:pPr>
            <w:r w:rsidRPr="00140B1E">
              <w:t>5%</w:t>
            </w:r>
          </w:p>
        </w:tc>
        <w:tc>
          <w:tcPr>
            <w:tcW w:w="737" w:type="dxa"/>
            <w:tcBorders>
              <w:top w:val="nil"/>
              <w:left w:val="nil"/>
              <w:bottom w:val="nil"/>
              <w:right w:val="nil"/>
            </w:tcBorders>
            <w:shd w:val="clear" w:color="auto" w:fill="auto"/>
            <w:vAlign w:val="center"/>
          </w:tcPr>
          <w:p w14:paraId="2EBBF85B" w14:textId="5CA8CBEE" w:rsidR="00A20625" w:rsidRPr="00372D3F" w:rsidRDefault="00A20625" w:rsidP="00A20625">
            <w:pPr>
              <w:spacing w:after="0" w:line="240" w:lineRule="auto"/>
              <w:jc w:val="center"/>
              <w:rPr>
                <w:rFonts w:asciiTheme="majorHAnsi" w:hAnsiTheme="majorHAnsi" w:cstheme="majorHAnsi"/>
                <w:sz w:val="22"/>
              </w:rPr>
            </w:pPr>
            <w:r w:rsidRPr="00140B1E">
              <w:t>5%</w:t>
            </w:r>
          </w:p>
        </w:tc>
        <w:tc>
          <w:tcPr>
            <w:tcW w:w="737" w:type="dxa"/>
            <w:tcBorders>
              <w:top w:val="nil"/>
              <w:left w:val="nil"/>
              <w:bottom w:val="nil"/>
              <w:right w:val="nil"/>
            </w:tcBorders>
            <w:shd w:val="clear" w:color="auto" w:fill="auto"/>
            <w:vAlign w:val="center"/>
          </w:tcPr>
          <w:p w14:paraId="7C3396C4" w14:textId="04D03A77" w:rsidR="00A20625" w:rsidRPr="00372D3F" w:rsidRDefault="00A20625" w:rsidP="00A20625">
            <w:pPr>
              <w:spacing w:after="0" w:line="240" w:lineRule="auto"/>
              <w:jc w:val="center"/>
              <w:rPr>
                <w:rFonts w:asciiTheme="majorHAnsi" w:hAnsiTheme="majorHAnsi" w:cstheme="majorHAnsi"/>
                <w:sz w:val="22"/>
              </w:rPr>
            </w:pPr>
            <w:r w:rsidRPr="00140B1E">
              <w:t>7%</w:t>
            </w:r>
          </w:p>
        </w:tc>
        <w:tc>
          <w:tcPr>
            <w:tcW w:w="737" w:type="dxa"/>
            <w:tcBorders>
              <w:top w:val="nil"/>
              <w:left w:val="nil"/>
              <w:bottom w:val="nil"/>
              <w:right w:val="nil"/>
            </w:tcBorders>
            <w:shd w:val="clear" w:color="auto" w:fill="auto"/>
            <w:vAlign w:val="center"/>
          </w:tcPr>
          <w:p w14:paraId="622BE9FE" w14:textId="452C4A05" w:rsidR="00A20625" w:rsidRPr="00372D3F" w:rsidRDefault="00A20625" w:rsidP="00A20625">
            <w:pPr>
              <w:spacing w:after="0" w:line="240" w:lineRule="auto"/>
              <w:jc w:val="center"/>
              <w:rPr>
                <w:rFonts w:asciiTheme="majorHAnsi" w:hAnsiTheme="majorHAnsi" w:cstheme="majorHAnsi"/>
                <w:sz w:val="22"/>
              </w:rPr>
            </w:pPr>
            <w:r w:rsidRPr="00140B1E">
              <w:t>7%</w:t>
            </w:r>
          </w:p>
        </w:tc>
        <w:tc>
          <w:tcPr>
            <w:tcW w:w="737" w:type="dxa"/>
            <w:tcBorders>
              <w:top w:val="nil"/>
              <w:left w:val="nil"/>
              <w:bottom w:val="nil"/>
              <w:right w:val="nil"/>
            </w:tcBorders>
            <w:shd w:val="clear" w:color="auto" w:fill="auto"/>
            <w:vAlign w:val="center"/>
          </w:tcPr>
          <w:p w14:paraId="49BC9ACD" w14:textId="2EE3AECC" w:rsidR="00A20625" w:rsidRPr="00372D3F" w:rsidRDefault="00A20625" w:rsidP="00A20625">
            <w:pPr>
              <w:spacing w:after="0" w:line="240" w:lineRule="auto"/>
              <w:jc w:val="center"/>
              <w:rPr>
                <w:rFonts w:asciiTheme="majorHAnsi" w:hAnsiTheme="majorHAnsi" w:cstheme="majorHAnsi"/>
                <w:sz w:val="22"/>
              </w:rPr>
            </w:pPr>
            <w:r w:rsidRPr="00140B1E">
              <w:t>7%</w:t>
            </w:r>
          </w:p>
        </w:tc>
        <w:tc>
          <w:tcPr>
            <w:tcW w:w="737" w:type="dxa"/>
            <w:tcBorders>
              <w:top w:val="nil"/>
              <w:left w:val="nil"/>
              <w:bottom w:val="nil"/>
              <w:right w:val="nil"/>
            </w:tcBorders>
            <w:shd w:val="clear" w:color="auto" w:fill="auto"/>
            <w:vAlign w:val="center"/>
          </w:tcPr>
          <w:p w14:paraId="638B8908" w14:textId="2221C658" w:rsidR="00A20625" w:rsidRPr="00372D3F" w:rsidRDefault="00A20625" w:rsidP="00A20625">
            <w:pPr>
              <w:spacing w:after="0" w:line="240" w:lineRule="auto"/>
              <w:jc w:val="center"/>
              <w:rPr>
                <w:rFonts w:asciiTheme="majorHAnsi" w:hAnsiTheme="majorHAnsi" w:cstheme="majorHAnsi"/>
                <w:sz w:val="22"/>
              </w:rPr>
            </w:pPr>
            <w:r w:rsidRPr="00140B1E">
              <w:t>7%</w:t>
            </w:r>
          </w:p>
        </w:tc>
        <w:tc>
          <w:tcPr>
            <w:tcW w:w="737" w:type="dxa"/>
            <w:tcBorders>
              <w:top w:val="nil"/>
              <w:left w:val="nil"/>
              <w:bottom w:val="nil"/>
              <w:right w:val="nil"/>
            </w:tcBorders>
            <w:shd w:val="clear" w:color="auto" w:fill="auto"/>
            <w:vAlign w:val="center"/>
          </w:tcPr>
          <w:p w14:paraId="7B14DA95" w14:textId="44E9260C" w:rsidR="00A20625" w:rsidRPr="00372D3F" w:rsidRDefault="00A20625" w:rsidP="00A20625">
            <w:pPr>
              <w:spacing w:after="0" w:line="240" w:lineRule="auto"/>
              <w:jc w:val="center"/>
              <w:rPr>
                <w:rFonts w:asciiTheme="majorHAnsi" w:hAnsiTheme="majorHAnsi" w:cstheme="majorHAnsi"/>
                <w:sz w:val="22"/>
              </w:rPr>
            </w:pPr>
            <w:r w:rsidRPr="00140B1E">
              <w:t>7%</w:t>
            </w:r>
          </w:p>
        </w:tc>
        <w:tc>
          <w:tcPr>
            <w:tcW w:w="737" w:type="dxa"/>
            <w:tcBorders>
              <w:top w:val="nil"/>
              <w:left w:val="nil"/>
              <w:bottom w:val="nil"/>
              <w:right w:val="nil"/>
            </w:tcBorders>
            <w:shd w:val="clear" w:color="auto" w:fill="auto"/>
            <w:vAlign w:val="center"/>
          </w:tcPr>
          <w:p w14:paraId="6A128ECC" w14:textId="30B1EB03" w:rsidR="00A20625" w:rsidRPr="00372D3F" w:rsidRDefault="00A20625" w:rsidP="00A20625">
            <w:pPr>
              <w:spacing w:after="0" w:line="240" w:lineRule="auto"/>
              <w:jc w:val="center"/>
              <w:rPr>
                <w:rFonts w:asciiTheme="majorHAnsi" w:hAnsiTheme="majorHAnsi" w:cstheme="majorHAnsi"/>
                <w:sz w:val="22"/>
              </w:rPr>
            </w:pPr>
            <w:r w:rsidRPr="00140B1E">
              <w:t>7%</w:t>
            </w:r>
          </w:p>
        </w:tc>
      </w:tr>
      <w:tr w:rsidR="00A20625" w:rsidRPr="007D5465" w14:paraId="24C87D83" w14:textId="77777777" w:rsidTr="00A20625">
        <w:trPr>
          <w:gridAfter w:val="1"/>
          <w:wAfter w:w="2152" w:type="dxa"/>
          <w:trHeight w:val="737"/>
        </w:trPr>
        <w:tc>
          <w:tcPr>
            <w:tcW w:w="4536" w:type="dxa"/>
            <w:tcBorders>
              <w:top w:val="single" w:sz="4" w:space="0" w:color="auto"/>
              <w:bottom w:val="single" w:sz="4" w:space="0" w:color="auto"/>
              <w:right w:val="single" w:sz="4" w:space="0" w:color="auto"/>
            </w:tcBorders>
            <w:vAlign w:val="center"/>
          </w:tcPr>
          <w:p w14:paraId="5B0C8441" w14:textId="77777777" w:rsidR="00A20625" w:rsidRPr="00A8737D" w:rsidRDefault="00A20625" w:rsidP="00A20625">
            <w:pPr>
              <w:tabs>
                <w:tab w:val="left" w:pos="1169"/>
              </w:tabs>
              <w:spacing w:after="0" w:line="240" w:lineRule="auto"/>
              <w:jc w:val="left"/>
              <w:rPr>
                <w:sz w:val="22"/>
              </w:rPr>
            </w:pPr>
            <w:r w:rsidRPr="00A8737D">
              <w:rPr>
                <w:sz w:val="22"/>
              </w:rPr>
              <w:t>Priorytet 2c</w:t>
            </w:r>
            <w:r w:rsidRPr="00A8737D">
              <w:rPr>
                <w:sz w:val="22"/>
              </w:rPr>
              <w:tab/>
            </w:r>
            <w:r w:rsidRPr="00A8737D">
              <w:rPr>
                <w:sz w:val="22"/>
              </w:rPr>
              <w:br/>
            </w:r>
            <w:r w:rsidRPr="00A8737D">
              <w:rPr>
                <w:rFonts w:eastAsia="Calibri"/>
                <w:sz w:val="22"/>
                <w:lang w:eastAsia="pl-PL"/>
              </w:rPr>
              <w:t>Dofinansowanie rozbudowy kapitałów żelaznych</w:t>
            </w:r>
          </w:p>
        </w:tc>
        <w:tc>
          <w:tcPr>
            <w:tcW w:w="737" w:type="dxa"/>
            <w:tcBorders>
              <w:top w:val="nil"/>
              <w:left w:val="single" w:sz="4" w:space="0" w:color="auto"/>
              <w:bottom w:val="nil"/>
              <w:right w:val="nil"/>
            </w:tcBorders>
            <w:shd w:val="clear" w:color="auto" w:fill="auto"/>
            <w:vAlign w:val="center"/>
          </w:tcPr>
          <w:p w14:paraId="0A3AAA2D" w14:textId="53389E3C" w:rsidR="00A20625" w:rsidRPr="00372D3F" w:rsidRDefault="00A20625" w:rsidP="00A20625">
            <w:pPr>
              <w:spacing w:after="0" w:line="240" w:lineRule="auto"/>
              <w:jc w:val="center"/>
              <w:rPr>
                <w:rFonts w:asciiTheme="majorHAnsi" w:hAnsiTheme="majorHAnsi" w:cstheme="majorHAnsi"/>
                <w:sz w:val="22"/>
              </w:rPr>
            </w:pPr>
            <w:r w:rsidRPr="00140B1E">
              <w:t>0%</w:t>
            </w:r>
          </w:p>
        </w:tc>
        <w:tc>
          <w:tcPr>
            <w:tcW w:w="737" w:type="dxa"/>
            <w:tcBorders>
              <w:top w:val="nil"/>
              <w:left w:val="nil"/>
              <w:bottom w:val="nil"/>
              <w:right w:val="nil"/>
            </w:tcBorders>
            <w:shd w:val="clear" w:color="auto" w:fill="auto"/>
            <w:vAlign w:val="center"/>
          </w:tcPr>
          <w:p w14:paraId="079F3DCB" w14:textId="395A0262" w:rsidR="00A20625" w:rsidRPr="00372D3F" w:rsidRDefault="00A20625" w:rsidP="00A20625">
            <w:pPr>
              <w:spacing w:after="0" w:line="240" w:lineRule="auto"/>
              <w:jc w:val="center"/>
              <w:rPr>
                <w:rFonts w:asciiTheme="majorHAnsi" w:hAnsiTheme="majorHAnsi" w:cstheme="majorHAnsi"/>
                <w:sz w:val="22"/>
              </w:rPr>
            </w:pPr>
            <w:r w:rsidRPr="00140B1E">
              <w:t>0%</w:t>
            </w:r>
          </w:p>
        </w:tc>
        <w:tc>
          <w:tcPr>
            <w:tcW w:w="737" w:type="dxa"/>
            <w:tcBorders>
              <w:top w:val="nil"/>
              <w:left w:val="nil"/>
              <w:bottom w:val="nil"/>
              <w:right w:val="nil"/>
            </w:tcBorders>
            <w:shd w:val="clear" w:color="auto" w:fill="auto"/>
            <w:vAlign w:val="center"/>
          </w:tcPr>
          <w:p w14:paraId="03124621" w14:textId="02A8A297" w:rsidR="00A20625" w:rsidRPr="00372D3F" w:rsidRDefault="00A20625" w:rsidP="00A20625">
            <w:pPr>
              <w:spacing w:after="0" w:line="240" w:lineRule="auto"/>
              <w:jc w:val="center"/>
              <w:rPr>
                <w:rFonts w:asciiTheme="majorHAnsi" w:hAnsiTheme="majorHAnsi" w:cstheme="majorHAnsi"/>
                <w:sz w:val="22"/>
              </w:rPr>
            </w:pPr>
            <w:r w:rsidRPr="00140B1E">
              <w:t>0%</w:t>
            </w:r>
          </w:p>
        </w:tc>
        <w:tc>
          <w:tcPr>
            <w:tcW w:w="737" w:type="dxa"/>
            <w:tcBorders>
              <w:top w:val="nil"/>
              <w:left w:val="nil"/>
              <w:bottom w:val="nil"/>
              <w:right w:val="nil"/>
            </w:tcBorders>
            <w:shd w:val="clear" w:color="auto" w:fill="auto"/>
            <w:vAlign w:val="center"/>
          </w:tcPr>
          <w:p w14:paraId="6F1907FF" w14:textId="297983C7" w:rsidR="00A20625" w:rsidRPr="00372D3F" w:rsidRDefault="00A20625" w:rsidP="00A20625">
            <w:pPr>
              <w:spacing w:after="0" w:line="240" w:lineRule="auto"/>
              <w:jc w:val="center"/>
              <w:rPr>
                <w:rFonts w:asciiTheme="majorHAnsi" w:hAnsiTheme="majorHAnsi" w:cstheme="majorHAnsi"/>
                <w:sz w:val="22"/>
              </w:rPr>
            </w:pPr>
            <w:r w:rsidRPr="00140B1E">
              <w:t>0%</w:t>
            </w:r>
          </w:p>
        </w:tc>
        <w:tc>
          <w:tcPr>
            <w:tcW w:w="737" w:type="dxa"/>
            <w:tcBorders>
              <w:top w:val="nil"/>
              <w:left w:val="nil"/>
              <w:bottom w:val="nil"/>
              <w:right w:val="nil"/>
            </w:tcBorders>
            <w:shd w:val="clear" w:color="auto" w:fill="auto"/>
            <w:vAlign w:val="center"/>
          </w:tcPr>
          <w:p w14:paraId="2E54C1B1" w14:textId="51E5E4C6" w:rsidR="00A20625" w:rsidRPr="00372D3F" w:rsidRDefault="00A20625" w:rsidP="00A20625">
            <w:pPr>
              <w:spacing w:after="0" w:line="240" w:lineRule="auto"/>
              <w:jc w:val="center"/>
              <w:rPr>
                <w:rFonts w:asciiTheme="majorHAnsi" w:hAnsiTheme="majorHAnsi" w:cstheme="majorHAnsi"/>
                <w:sz w:val="22"/>
              </w:rPr>
            </w:pPr>
            <w:r w:rsidRPr="00140B1E">
              <w:t>0%</w:t>
            </w:r>
          </w:p>
        </w:tc>
        <w:tc>
          <w:tcPr>
            <w:tcW w:w="737" w:type="dxa"/>
            <w:tcBorders>
              <w:top w:val="nil"/>
              <w:left w:val="nil"/>
              <w:bottom w:val="nil"/>
              <w:right w:val="nil"/>
            </w:tcBorders>
            <w:shd w:val="clear" w:color="auto" w:fill="auto"/>
            <w:vAlign w:val="center"/>
          </w:tcPr>
          <w:p w14:paraId="04977E0B" w14:textId="6CC70562" w:rsidR="00A20625" w:rsidRPr="00372D3F" w:rsidRDefault="00A20625" w:rsidP="00A20625">
            <w:pPr>
              <w:spacing w:after="0" w:line="240" w:lineRule="auto"/>
              <w:jc w:val="center"/>
              <w:rPr>
                <w:rFonts w:asciiTheme="majorHAnsi" w:hAnsiTheme="majorHAnsi" w:cstheme="majorHAnsi"/>
                <w:sz w:val="22"/>
              </w:rPr>
            </w:pPr>
            <w:r w:rsidRPr="00140B1E">
              <w:t>0%</w:t>
            </w:r>
          </w:p>
        </w:tc>
        <w:tc>
          <w:tcPr>
            <w:tcW w:w="737" w:type="dxa"/>
            <w:tcBorders>
              <w:top w:val="nil"/>
              <w:left w:val="nil"/>
              <w:bottom w:val="nil"/>
              <w:right w:val="nil"/>
            </w:tcBorders>
            <w:shd w:val="clear" w:color="auto" w:fill="auto"/>
            <w:vAlign w:val="center"/>
          </w:tcPr>
          <w:p w14:paraId="42CB1E33" w14:textId="1E1D5F24" w:rsidR="00A20625" w:rsidRPr="00372D3F" w:rsidRDefault="00A20625" w:rsidP="00A20625">
            <w:pPr>
              <w:spacing w:after="0" w:line="240" w:lineRule="auto"/>
              <w:jc w:val="center"/>
              <w:rPr>
                <w:rFonts w:asciiTheme="majorHAnsi" w:hAnsiTheme="majorHAnsi" w:cstheme="majorHAnsi"/>
                <w:sz w:val="22"/>
              </w:rPr>
            </w:pPr>
            <w:r w:rsidRPr="00140B1E">
              <w:t>7%</w:t>
            </w:r>
          </w:p>
        </w:tc>
        <w:tc>
          <w:tcPr>
            <w:tcW w:w="737" w:type="dxa"/>
            <w:tcBorders>
              <w:top w:val="nil"/>
              <w:left w:val="nil"/>
              <w:bottom w:val="nil"/>
              <w:right w:val="nil"/>
            </w:tcBorders>
            <w:shd w:val="clear" w:color="auto" w:fill="auto"/>
            <w:vAlign w:val="center"/>
          </w:tcPr>
          <w:p w14:paraId="055258D5" w14:textId="5A4E5084" w:rsidR="00A20625" w:rsidRPr="00372D3F" w:rsidRDefault="00A20625" w:rsidP="00A20625">
            <w:pPr>
              <w:spacing w:after="0" w:line="240" w:lineRule="auto"/>
              <w:jc w:val="center"/>
              <w:rPr>
                <w:rFonts w:asciiTheme="majorHAnsi" w:hAnsiTheme="majorHAnsi" w:cstheme="majorHAnsi"/>
                <w:sz w:val="22"/>
              </w:rPr>
            </w:pPr>
            <w:r w:rsidRPr="00140B1E">
              <w:t>7%</w:t>
            </w:r>
          </w:p>
        </w:tc>
        <w:tc>
          <w:tcPr>
            <w:tcW w:w="737" w:type="dxa"/>
            <w:tcBorders>
              <w:top w:val="nil"/>
              <w:left w:val="nil"/>
              <w:bottom w:val="nil"/>
              <w:right w:val="nil"/>
            </w:tcBorders>
            <w:shd w:val="clear" w:color="auto" w:fill="auto"/>
            <w:vAlign w:val="center"/>
          </w:tcPr>
          <w:p w14:paraId="43268FBD" w14:textId="3A6F3CC4" w:rsidR="00A20625" w:rsidRPr="00372D3F" w:rsidRDefault="00A20625" w:rsidP="00A20625">
            <w:pPr>
              <w:spacing w:after="0" w:line="240" w:lineRule="auto"/>
              <w:jc w:val="center"/>
              <w:rPr>
                <w:rFonts w:asciiTheme="majorHAnsi" w:hAnsiTheme="majorHAnsi" w:cstheme="majorHAnsi"/>
                <w:sz w:val="22"/>
              </w:rPr>
            </w:pPr>
            <w:r w:rsidRPr="00140B1E">
              <w:t>7%</w:t>
            </w:r>
          </w:p>
        </w:tc>
        <w:tc>
          <w:tcPr>
            <w:tcW w:w="737" w:type="dxa"/>
            <w:tcBorders>
              <w:top w:val="nil"/>
              <w:left w:val="nil"/>
              <w:bottom w:val="nil"/>
              <w:right w:val="nil"/>
            </w:tcBorders>
            <w:shd w:val="clear" w:color="auto" w:fill="auto"/>
            <w:vAlign w:val="center"/>
          </w:tcPr>
          <w:p w14:paraId="39650D84" w14:textId="02E1E425" w:rsidR="00A20625" w:rsidRPr="00372D3F" w:rsidRDefault="00A20625" w:rsidP="00A20625">
            <w:pPr>
              <w:spacing w:after="0" w:line="240" w:lineRule="auto"/>
              <w:jc w:val="center"/>
              <w:rPr>
                <w:rFonts w:asciiTheme="majorHAnsi" w:hAnsiTheme="majorHAnsi" w:cstheme="majorHAnsi"/>
                <w:sz w:val="22"/>
              </w:rPr>
            </w:pPr>
            <w:r w:rsidRPr="00140B1E">
              <w:t>7%</w:t>
            </w:r>
          </w:p>
        </w:tc>
        <w:tc>
          <w:tcPr>
            <w:tcW w:w="737" w:type="dxa"/>
            <w:tcBorders>
              <w:top w:val="nil"/>
              <w:left w:val="nil"/>
              <w:bottom w:val="nil"/>
              <w:right w:val="nil"/>
            </w:tcBorders>
            <w:shd w:val="clear" w:color="auto" w:fill="auto"/>
            <w:vAlign w:val="center"/>
          </w:tcPr>
          <w:p w14:paraId="74C46235" w14:textId="4C04E3EA" w:rsidR="00A20625" w:rsidRPr="00372D3F" w:rsidRDefault="00A20625" w:rsidP="00A20625">
            <w:pPr>
              <w:spacing w:after="0" w:line="240" w:lineRule="auto"/>
              <w:jc w:val="center"/>
              <w:rPr>
                <w:rFonts w:asciiTheme="majorHAnsi" w:hAnsiTheme="majorHAnsi" w:cstheme="majorHAnsi"/>
                <w:sz w:val="22"/>
              </w:rPr>
            </w:pPr>
            <w:r w:rsidRPr="00140B1E">
              <w:t>7%</w:t>
            </w:r>
          </w:p>
        </w:tc>
        <w:tc>
          <w:tcPr>
            <w:tcW w:w="737" w:type="dxa"/>
            <w:tcBorders>
              <w:top w:val="nil"/>
              <w:left w:val="nil"/>
              <w:bottom w:val="nil"/>
              <w:right w:val="nil"/>
            </w:tcBorders>
            <w:shd w:val="clear" w:color="auto" w:fill="auto"/>
            <w:vAlign w:val="center"/>
          </w:tcPr>
          <w:p w14:paraId="2CF8829E" w14:textId="40DB5236" w:rsidR="00A20625" w:rsidRPr="00372D3F" w:rsidRDefault="00A20625" w:rsidP="00A20625">
            <w:pPr>
              <w:spacing w:after="0" w:line="240" w:lineRule="auto"/>
              <w:jc w:val="center"/>
              <w:rPr>
                <w:rFonts w:asciiTheme="majorHAnsi" w:hAnsiTheme="majorHAnsi" w:cstheme="majorHAnsi"/>
                <w:sz w:val="22"/>
              </w:rPr>
            </w:pPr>
            <w:r w:rsidRPr="00140B1E">
              <w:t>7%</w:t>
            </w:r>
          </w:p>
        </w:tc>
        <w:tc>
          <w:tcPr>
            <w:tcW w:w="737" w:type="dxa"/>
            <w:tcBorders>
              <w:top w:val="nil"/>
              <w:left w:val="nil"/>
              <w:bottom w:val="nil"/>
              <w:right w:val="nil"/>
            </w:tcBorders>
            <w:shd w:val="clear" w:color="auto" w:fill="auto"/>
            <w:vAlign w:val="center"/>
          </w:tcPr>
          <w:p w14:paraId="54B7A883" w14:textId="12BECEDF" w:rsidR="00A20625" w:rsidRPr="00372D3F" w:rsidRDefault="00A20625" w:rsidP="00A20625">
            <w:pPr>
              <w:spacing w:after="0" w:line="240" w:lineRule="auto"/>
              <w:jc w:val="center"/>
              <w:rPr>
                <w:rFonts w:asciiTheme="majorHAnsi" w:hAnsiTheme="majorHAnsi" w:cstheme="majorHAnsi"/>
                <w:sz w:val="22"/>
              </w:rPr>
            </w:pPr>
            <w:r w:rsidRPr="00140B1E">
              <w:t>7%</w:t>
            </w:r>
          </w:p>
        </w:tc>
      </w:tr>
      <w:tr w:rsidR="00A20625" w:rsidRPr="007D5465" w14:paraId="2AC66081" w14:textId="77777777" w:rsidTr="00A20625">
        <w:trPr>
          <w:gridAfter w:val="1"/>
          <w:wAfter w:w="2152" w:type="dxa"/>
          <w:trHeight w:val="850"/>
        </w:trPr>
        <w:tc>
          <w:tcPr>
            <w:tcW w:w="4536" w:type="dxa"/>
            <w:tcBorders>
              <w:top w:val="single" w:sz="4" w:space="0" w:color="auto"/>
              <w:bottom w:val="single" w:sz="4" w:space="0" w:color="auto"/>
              <w:right w:val="single" w:sz="4" w:space="0" w:color="auto"/>
            </w:tcBorders>
            <w:vAlign w:val="center"/>
          </w:tcPr>
          <w:p w14:paraId="3A83CEDA" w14:textId="77777777" w:rsidR="00A20625" w:rsidRPr="00A8737D" w:rsidRDefault="00A20625" w:rsidP="00A20625">
            <w:pPr>
              <w:tabs>
                <w:tab w:val="left" w:pos="1169"/>
              </w:tabs>
              <w:spacing w:after="0" w:line="240" w:lineRule="auto"/>
              <w:jc w:val="left"/>
              <w:rPr>
                <w:sz w:val="22"/>
              </w:rPr>
            </w:pPr>
            <w:r w:rsidRPr="00A8737D">
              <w:rPr>
                <w:sz w:val="22"/>
              </w:rPr>
              <w:t>Priorytet 3</w:t>
            </w:r>
            <w:r w:rsidRPr="00A8737D">
              <w:rPr>
                <w:sz w:val="22"/>
              </w:rPr>
              <w:br/>
            </w:r>
            <w:r w:rsidRPr="00A8737D">
              <w:rPr>
                <w:rFonts w:eastAsia="Calibri"/>
                <w:sz w:val="22"/>
              </w:rPr>
              <w:t>Rozwój instytucjonalny lokalnych organizacji strażniczych i mediów obywatelskich</w:t>
            </w:r>
          </w:p>
        </w:tc>
        <w:tc>
          <w:tcPr>
            <w:tcW w:w="737" w:type="dxa"/>
            <w:tcBorders>
              <w:top w:val="nil"/>
              <w:left w:val="single" w:sz="4" w:space="0" w:color="auto"/>
              <w:bottom w:val="nil"/>
              <w:right w:val="nil"/>
            </w:tcBorders>
            <w:shd w:val="clear" w:color="auto" w:fill="auto"/>
            <w:vAlign w:val="center"/>
          </w:tcPr>
          <w:p w14:paraId="6DA346E0" w14:textId="199683F7" w:rsidR="00A20625" w:rsidRPr="00372D3F" w:rsidRDefault="00A20625" w:rsidP="00A20625">
            <w:pPr>
              <w:spacing w:after="0" w:line="240" w:lineRule="auto"/>
              <w:jc w:val="center"/>
              <w:rPr>
                <w:rFonts w:asciiTheme="majorHAnsi" w:hAnsiTheme="majorHAnsi" w:cstheme="majorHAnsi"/>
                <w:sz w:val="22"/>
              </w:rPr>
            </w:pPr>
            <w:r w:rsidRPr="00140B1E">
              <w:t>8%</w:t>
            </w:r>
          </w:p>
        </w:tc>
        <w:tc>
          <w:tcPr>
            <w:tcW w:w="737" w:type="dxa"/>
            <w:tcBorders>
              <w:top w:val="nil"/>
              <w:left w:val="nil"/>
              <w:bottom w:val="nil"/>
              <w:right w:val="nil"/>
            </w:tcBorders>
            <w:shd w:val="clear" w:color="auto" w:fill="auto"/>
            <w:vAlign w:val="center"/>
          </w:tcPr>
          <w:p w14:paraId="2BE2FCBB" w14:textId="540EEC70" w:rsidR="00A20625" w:rsidRPr="00372D3F" w:rsidRDefault="00A20625" w:rsidP="00A20625">
            <w:pPr>
              <w:spacing w:after="0" w:line="240" w:lineRule="auto"/>
              <w:jc w:val="center"/>
              <w:rPr>
                <w:rFonts w:asciiTheme="majorHAnsi" w:hAnsiTheme="majorHAnsi" w:cstheme="majorHAnsi"/>
                <w:sz w:val="22"/>
              </w:rPr>
            </w:pPr>
            <w:r w:rsidRPr="00140B1E">
              <w:t>8%</w:t>
            </w:r>
          </w:p>
        </w:tc>
        <w:tc>
          <w:tcPr>
            <w:tcW w:w="737" w:type="dxa"/>
            <w:tcBorders>
              <w:top w:val="nil"/>
              <w:left w:val="nil"/>
              <w:bottom w:val="nil"/>
              <w:right w:val="nil"/>
            </w:tcBorders>
            <w:shd w:val="clear" w:color="auto" w:fill="auto"/>
            <w:vAlign w:val="center"/>
          </w:tcPr>
          <w:p w14:paraId="3E06676D" w14:textId="7317F062" w:rsidR="00A20625" w:rsidRPr="00372D3F" w:rsidRDefault="00A20625" w:rsidP="00A20625">
            <w:pPr>
              <w:spacing w:after="0" w:line="240" w:lineRule="auto"/>
              <w:jc w:val="center"/>
              <w:rPr>
                <w:rFonts w:asciiTheme="majorHAnsi" w:hAnsiTheme="majorHAnsi" w:cstheme="majorHAnsi"/>
                <w:sz w:val="22"/>
              </w:rPr>
            </w:pPr>
            <w:r w:rsidRPr="00140B1E">
              <w:t>8%</w:t>
            </w:r>
          </w:p>
        </w:tc>
        <w:tc>
          <w:tcPr>
            <w:tcW w:w="737" w:type="dxa"/>
            <w:tcBorders>
              <w:top w:val="nil"/>
              <w:left w:val="nil"/>
              <w:bottom w:val="nil"/>
              <w:right w:val="nil"/>
            </w:tcBorders>
            <w:shd w:val="clear" w:color="auto" w:fill="auto"/>
            <w:vAlign w:val="center"/>
          </w:tcPr>
          <w:p w14:paraId="16BAA41B" w14:textId="2A802FF7" w:rsidR="00A20625" w:rsidRPr="00372D3F" w:rsidRDefault="00A20625" w:rsidP="00A20625">
            <w:pPr>
              <w:spacing w:after="0" w:line="240" w:lineRule="auto"/>
              <w:jc w:val="center"/>
              <w:rPr>
                <w:rFonts w:asciiTheme="majorHAnsi" w:hAnsiTheme="majorHAnsi" w:cstheme="majorHAnsi"/>
                <w:sz w:val="22"/>
              </w:rPr>
            </w:pPr>
            <w:r w:rsidRPr="00140B1E">
              <w:t>8%</w:t>
            </w:r>
          </w:p>
        </w:tc>
        <w:tc>
          <w:tcPr>
            <w:tcW w:w="737" w:type="dxa"/>
            <w:tcBorders>
              <w:top w:val="nil"/>
              <w:left w:val="nil"/>
              <w:bottom w:val="nil"/>
              <w:right w:val="nil"/>
            </w:tcBorders>
            <w:shd w:val="clear" w:color="auto" w:fill="auto"/>
            <w:vAlign w:val="center"/>
          </w:tcPr>
          <w:p w14:paraId="11365BAE" w14:textId="70979A0F" w:rsidR="00A20625" w:rsidRPr="00372D3F" w:rsidRDefault="00A20625" w:rsidP="00A20625">
            <w:pPr>
              <w:spacing w:after="0" w:line="240" w:lineRule="auto"/>
              <w:jc w:val="center"/>
              <w:rPr>
                <w:rFonts w:asciiTheme="majorHAnsi" w:hAnsiTheme="majorHAnsi" w:cstheme="majorHAnsi"/>
                <w:sz w:val="22"/>
              </w:rPr>
            </w:pPr>
            <w:r w:rsidRPr="00140B1E">
              <w:t>8%</w:t>
            </w:r>
          </w:p>
        </w:tc>
        <w:tc>
          <w:tcPr>
            <w:tcW w:w="737" w:type="dxa"/>
            <w:tcBorders>
              <w:top w:val="nil"/>
              <w:left w:val="nil"/>
              <w:bottom w:val="nil"/>
              <w:right w:val="nil"/>
            </w:tcBorders>
            <w:shd w:val="clear" w:color="auto" w:fill="auto"/>
            <w:vAlign w:val="center"/>
          </w:tcPr>
          <w:p w14:paraId="6D67DAB4" w14:textId="6C8FE7BD" w:rsidR="00A20625" w:rsidRPr="00372D3F" w:rsidRDefault="00A20625" w:rsidP="00A20625">
            <w:pPr>
              <w:spacing w:after="0" w:line="240" w:lineRule="auto"/>
              <w:jc w:val="center"/>
              <w:rPr>
                <w:rFonts w:asciiTheme="majorHAnsi" w:hAnsiTheme="majorHAnsi" w:cstheme="majorHAnsi"/>
                <w:sz w:val="22"/>
              </w:rPr>
            </w:pPr>
            <w:r w:rsidRPr="00140B1E">
              <w:t>8%</w:t>
            </w:r>
          </w:p>
        </w:tc>
        <w:tc>
          <w:tcPr>
            <w:tcW w:w="737" w:type="dxa"/>
            <w:tcBorders>
              <w:top w:val="nil"/>
              <w:left w:val="nil"/>
              <w:bottom w:val="nil"/>
              <w:right w:val="nil"/>
            </w:tcBorders>
            <w:shd w:val="clear" w:color="auto" w:fill="auto"/>
            <w:vAlign w:val="center"/>
          </w:tcPr>
          <w:p w14:paraId="443E29F2" w14:textId="6F7C892E" w:rsidR="00A20625" w:rsidRPr="00372D3F" w:rsidRDefault="00A20625" w:rsidP="00A20625">
            <w:pPr>
              <w:spacing w:after="0" w:line="240" w:lineRule="auto"/>
              <w:jc w:val="center"/>
              <w:rPr>
                <w:rFonts w:asciiTheme="majorHAnsi" w:hAnsiTheme="majorHAnsi" w:cstheme="majorHAnsi"/>
                <w:sz w:val="22"/>
              </w:rPr>
            </w:pPr>
            <w:r w:rsidRPr="00140B1E">
              <w:t>8%</w:t>
            </w:r>
          </w:p>
        </w:tc>
        <w:tc>
          <w:tcPr>
            <w:tcW w:w="737" w:type="dxa"/>
            <w:tcBorders>
              <w:top w:val="nil"/>
              <w:left w:val="nil"/>
              <w:bottom w:val="nil"/>
              <w:right w:val="nil"/>
            </w:tcBorders>
            <w:shd w:val="clear" w:color="auto" w:fill="auto"/>
            <w:vAlign w:val="center"/>
          </w:tcPr>
          <w:p w14:paraId="1FDBFAD0" w14:textId="11D01A24" w:rsidR="00A20625" w:rsidRPr="00372D3F" w:rsidRDefault="00A20625" w:rsidP="00A20625">
            <w:pPr>
              <w:spacing w:after="0" w:line="240" w:lineRule="auto"/>
              <w:jc w:val="center"/>
              <w:rPr>
                <w:rFonts w:asciiTheme="majorHAnsi" w:hAnsiTheme="majorHAnsi" w:cstheme="majorHAnsi"/>
                <w:sz w:val="22"/>
              </w:rPr>
            </w:pPr>
            <w:r w:rsidRPr="00140B1E">
              <w:t>8%</w:t>
            </w:r>
          </w:p>
        </w:tc>
        <w:tc>
          <w:tcPr>
            <w:tcW w:w="737" w:type="dxa"/>
            <w:tcBorders>
              <w:top w:val="nil"/>
              <w:left w:val="nil"/>
              <w:bottom w:val="nil"/>
              <w:right w:val="nil"/>
            </w:tcBorders>
            <w:shd w:val="clear" w:color="auto" w:fill="auto"/>
            <w:vAlign w:val="center"/>
          </w:tcPr>
          <w:p w14:paraId="5531C57E" w14:textId="26A75214" w:rsidR="00A20625" w:rsidRPr="00372D3F" w:rsidRDefault="00A20625" w:rsidP="00A20625">
            <w:pPr>
              <w:spacing w:after="0" w:line="240" w:lineRule="auto"/>
              <w:jc w:val="center"/>
              <w:rPr>
                <w:rFonts w:asciiTheme="majorHAnsi" w:hAnsiTheme="majorHAnsi" w:cstheme="majorHAnsi"/>
                <w:sz w:val="22"/>
              </w:rPr>
            </w:pPr>
            <w:r w:rsidRPr="00140B1E">
              <w:t>8%</w:t>
            </w:r>
          </w:p>
        </w:tc>
        <w:tc>
          <w:tcPr>
            <w:tcW w:w="737" w:type="dxa"/>
            <w:tcBorders>
              <w:top w:val="nil"/>
              <w:left w:val="nil"/>
              <w:bottom w:val="nil"/>
              <w:right w:val="nil"/>
            </w:tcBorders>
            <w:shd w:val="clear" w:color="auto" w:fill="auto"/>
            <w:vAlign w:val="center"/>
          </w:tcPr>
          <w:p w14:paraId="71725AFF" w14:textId="5548FEA4" w:rsidR="00A20625" w:rsidRPr="00372D3F" w:rsidRDefault="00A20625" w:rsidP="00A20625">
            <w:pPr>
              <w:spacing w:after="0" w:line="240" w:lineRule="auto"/>
              <w:jc w:val="center"/>
              <w:rPr>
                <w:rFonts w:asciiTheme="majorHAnsi" w:hAnsiTheme="majorHAnsi" w:cstheme="majorHAnsi"/>
                <w:sz w:val="22"/>
              </w:rPr>
            </w:pPr>
            <w:r w:rsidRPr="00140B1E">
              <w:t>8%</w:t>
            </w:r>
          </w:p>
        </w:tc>
        <w:tc>
          <w:tcPr>
            <w:tcW w:w="737" w:type="dxa"/>
            <w:tcBorders>
              <w:top w:val="nil"/>
              <w:left w:val="nil"/>
              <w:bottom w:val="nil"/>
              <w:right w:val="nil"/>
            </w:tcBorders>
            <w:shd w:val="clear" w:color="auto" w:fill="auto"/>
            <w:vAlign w:val="center"/>
          </w:tcPr>
          <w:p w14:paraId="4B19DBE0" w14:textId="61C46106" w:rsidR="00A20625" w:rsidRPr="00372D3F" w:rsidRDefault="00A20625" w:rsidP="00A20625">
            <w:pPr>
              <w:spacing w:after="0" w:line="240" w:lineRule="auto"/>
              <w:jc w:val="center"/>
              <w:rPr>
                <w:rFonts w:asciiTheme="majorHAnsi" w:hAnsiTheme="majorHAnsi" w:cstheme="majorHAnsi"/>
                <w:sz w:val="22"/>
              </w:rPr>
            </w:pPr>
            <w:r w:rsidRPr="00140B1E">
              <w:t>8%</w:t>
            </w:r>
          </w:p>
        </w:tc>
        <w:tc>
          <w:tcPr>
            <w:tcW w:w="737" w:type="dxa"/>
            <w:tcBorders>
              <w:top w:val="nil"/>
              <w:left w:val="nil"/>
              <w:bottom w:val="nil"/>
              <w:right w:val="nil"/>
            </w:tcBorders>
            <w:shd w:val="clear" w:color="auto" w:fill="auto"/>
            <w:vAlign w:val="center"/>
          </w:tcPr>
          <w:p w14:paraId="3A15084D" w14:textId="1A95553F" w:rsidR="00A20625" w:rsidRPr="00372D3F" w:rsidRDefault="00A20625" w:rsidP="00A20625">
            <w:pPr>
              <w:spacing w:after="0" w:line="240" w:lineRule="auto"/>
              <w:jc w:val="center"/>
              <w:rPr>
                <w:rFonts w:asciiTheme="majorHAnsi" w:hAnsiTheme="majorHAnsi" w:cstheme="majorHAnsi"/>
                <w:sz w:val="22"/>
              </w:rPr>
            </w:pPr>
            <w:r w:rsidRPr="00140B1E">
              <w:t>8%</w:t>
            </w:r>
          </w:p>
        </w:tc>
        <w:tc>
          <w:tcPr>
            <w:tcW w:w="737" w:type="dxa"/>
            <w:tcBorders>
              <w:top w:val="nil"/>
              <w:left w:val="nil"/>
              <w:bottom w:val="nil"/>
              <w:right w:val="nil"/>
            </w:tcBorders>
            <w:shd w:val="clear" w:color="auto" w:fill="auto"/>
            <w:vAlign w:val="center"/>
          </w:tcPr>
          <w:p w14:paraId="53EC4957" w14:textId="45C94F18" w:rsidR="00A20625" w:rsidRPr="00372D3F" w:rsidRDefault="00A20625" w:rsidP="00A20625">
            <w:pPr>
              <w:spacing w:after="0" w:line="240" w:lineRule="auto"/>
              <w:jc w:val="center"/>
              <w:rPr>
                <w:rFonts w:asciiTheme="majorHAnsi" w:hAnsiTheme="majorHAnsi" w:cstheme="majorHAnsi"/>
                <w:sz w:val="22"/>
              </w:rPr>
            </w:pPr>
            <w:r w:rsidRPr="00140B1E">
              <w:t>8%</w:t>
            </w:r>
          </w:p>
        </w:tc>
      </w:tr>
      <w:tr w:rsidR="00A20625" w:rsidRPr="007D5465" w14:paraId="609618FB" w14:textId="77777777" w:rsidTr="00A20625">
        <w:trPr>
          <w:gridAfter w:val="1"/>
          <w:wAfter w:w="2152" w:type="dxa"/>
          <w:trHeight w:val="624"/>
        </w:trPr>
        <w:tc>
          <w:tcPr>
            <w:tcW w:w="4536" w:type="dxa"/>
            <w:tcBorders>
              <w:top w:val="single" w:sz="4" w:space="0" w:color="auto"/>
              <w:bottom w:val="single" w:sz="4" w:space="0" w:color="auto"/>
              <w:right w:val="single" w:sz="4" w:space="0" w:color="auto"/>
            </w:tcBorders>
            <w:vAlign w:val="center"/>
          </w:tcPr>
          <w:p w14:paraId="1770FCCC" w14:textId="77777777" w:rsidR="00A20625" w:rsidRPr="00A8737D" w:rsidRDefault="00A20625" w:rsidP="00A20625">
            <w:pPr>
              <w:tabs>
                <w:tab w:val="left" w:pos="1169"/>
              </w:tabs>
              <w:spacing w:after="0" w:line="240" w:lineRule="auto"/>
              <w:jc w:val="left"/>
              <w:rPr>
                <w:sz w:val="22"/>
              </w:rPr>
            </w:pPr>
            <w:r w:rsidRPr="00A8737D">
              <w:rPr>
                <w:sz w:val="22"/>
              </w:rPr>
              <w:t>Priorytet 4</w:t>
            </w:r>
            <w:r w:rsidRPr="00A8737D">
              <w:rPr>
                <w:sz w:val="22"/>
              </w:rPr>
              <w:br/>
            </w:r>
            <w:r w:rsidRPr="00A8737D">
              <w:rPr>
                <w:rFonts w:eastAsia="Calibri"/>
                <w:sz w:val="22"/>
              </w:rPr>
              <w:t xml:space="preserve">Rozwój instytucjonalny </w:t>
            </w:r>
            <w:proofErr w:type="spellStart"/>
            <w:r w:rsidRPr="00A8737D">
              <w:rPr>
                <w:rFonts w:eastAsia="Calibri"/>
                <w:sz w:val="22"/>
              </w:rPr>
              <w:t>think</w:t>
            </w:r>
            <w:proofErr w:type="spellEnd"/>
            <w:r w:rsidRPr="00A8737D">
              <w:rPr>
                <w:rFonts w:eastAsia="Calibri"/>
                <w:sz w:val="22"/>
              </w:rPr>
              <w:t xml:space="preserve"> tanków obywatelskich</w:t>
            </w:r>
          </w:p>
        </w:tc>
        <w:tc>
          <w:tcPr>
            <w:tcW w:w="737" w:type="dxa"/>
            <w:tcBorders>
              <w:top w:val="nil"/>
              <w:left w:val="single" w:sz="4" w:space="0" w:color="auto"/>
              <w:right w:val="nil"/>
            </w:tcBorders>
            <w:shd w:val="clear" w:color="auto" w:fill="auto"/>
            <w:vAlign w:val="center"/>
          </w:tcPr>
          <w:p w14:paraId="649EDFF8" w14:textId="3D8923B0" w:rsidR="00A20625" w:rsidRPr="00372D3F" w:rsidRDefault="00A20625" w:rsidP="00A20625">
            <w:pPr>
              <w:spacing w:after="0" w:line="240" w:lineRule="auto"/>
              <w:jc w:val="center"/>
              <w:rPr>
                <w:rFonts w:asciiTheme="majorHAnsi" w:hAnsiTheme="majorHAnsi" w:cstheme="majorHAnsi"/>
                <w:sz w:val="22"/>
              </w:rPr>
            </w:pPr>
            <w:r w:rsidRPr="00140B1E">
              <w:t>8%</w:t>
            </w:r>
          </w:p>
        </w:tc>
        <w:tc>
          <w:tcPr>
            <w:tcW w:w="737" w:type="dxa"/>
            <w:tcBorders>
              <w:top w:val="nil"/>
              <w:left w:val="nil"/>
              <w:right w:val="nil"/>
            </w:tcBorders>
            <w:shd w:val="clear" w:color="auto" w:fill="auto"/>
            <w:vAlign w:val="center"/>
          </w:tcPr>
          <w:p w14:paraId="3E032055" w14:textId="78CE03AB" w:rsidR="00A20625" w:rsidRPr="00372D3F" w:rsidRDefault="00A20625" w:rsidP="00A20625">
            <w:pPr>
              <w:spacing w:after="0" w:line="240" w:lineRule="auto"/>
              <w:jc w:val="center"/>
              <w:rPr>
                <w:rFonts w:asciiTheme="majorHAnsi" w:hAnsiTheme="majorHAnsi" w:cstheme="majorHAnsi"/>
                <w:sz w:val="22"/>
              </w:rPr>
            </w:pPr>
            <w:r w:rsidRPr="00140B1E">
              <w:t>8%</w:t>
            </w:r>
          </w:p>
        </w:tc>
        <w:tc>
          <w:tcPr>
            <w:tcW w:w="737" w:type="dxa"/>
            <w:tcBorders>
              <w:top w:val="nil"/>
              <w:left w:val="nil"/>
              <w:right w:val="nil"/>
            </w:tcBorders>
            <w:shd w:val="clear" w:color="auto" w:fill="auto"/>
            <w:vAlign w:val="center"/>
          </w:tcPr>
          <w:p w14:paraId="18FC44A8" w14:textId="5FB3E11C" w:rsidR="00A20625" w:rsidRPr="00372D3F" w:rsidRDefault="00A20625" w:rsidP="00A20625">
            <w:pPr>
              <w:spacing w:after="0" w:line="240" w:lineRule="auto"/>
              <w:jc w:val="center"/>
              <w:rPr>
                <w:rFonts w:asciiTheme="majorHAnsi" w:hAnsiTheme="majorHAnsi" w:cstheme="majorHAnsi"/>
                <w:sz w:val="22"/>
              </w:rPr>
            </w:pPr>
            <w:r w:rsidRPr="00140B1E">
              <w:t>8%</w:t>
            </w:r>
          </w:p>
        </w:tc>
        <w:tc>
          <w:tcPr>
            <w:tcW w:w="737" w:type="dxa"/>
            <w:tcBorders>
              <w:top w:val="nil"/>
              <w:left w:val="nil"/>
              <w:right w:val="nil"/>
            </w:tcBorders>
            <w:shd w:val="clear" w:color="auto" w:fill="auto"/>
            <w:vAlign w:val="center"/>
          </w:tcPr>
          <w:p w14:paraId="20E2AA77" w14:textId="49CC5956" w:rsidR="00A20625" w:rsidRPr="00372D3F" w:rsidRDefault="00A20625" w:rsidP="00A20625">
            <w:pPr>
              <w:spacing w:after="0" w:line="240" w:lineRule="auto"/>
              <w:jc w:val="center"/>
              <w:rPr>
                <w:rFonts w:asciiTheme="majorHAnsi" w:hAnsiTheme="majorHAnsi" w:cstheme="majorHAnsi"/>
                <w:sz w:val="22"/>
              </w:rPr>
            </w:pPr>
            <w:r w:rsidRPr="00140B1E">
              <w:t>8%</w:t>
            </w:r>
          </w:p>
        </w:tc>
        <w:tc>
          <w:tcPr>
            <w:tcW w:w="737" w:type="dxa"/>
            <w:tcBorders>
              <w:top w:val="nil"/>
              <w:left w:val="nil"/>
              <w:right w:val="nil"/>
            </w:tcBorders>
            <w:shd w:val="clear" w:color="auto" w:fill="auto"/>
            <w:vAlign w:val="center"/>
          </w:tcPr>
          <w:p w14:paraId="32B24B02" w14:textId="7D9B4A68" w:rsidR="00A20625" w:rsidRPr="00372D3F" w:rsidRDefault="00A20625" w:rsidP="00A20625">
            <w:pPr>
              <w:spacing w:after="0" w:line="240" w:lineRule="auto"/>
              <w:jc w:val="center"/>
              <w:rPr>
                <w:rFonts w:asciiTheme="majorHAnsi" w:hAnsiTheme="majorHAnsi" w:cstheme="majorHAnsi"/>
                <w:sz w:val="22"/>
              </w:rPr>
            </w:pPr>
            <w:r w:rsidRPr="00140B1E">
              <w:t>8%</w:t>
            </w:r>
          </w:p>
        </w:tc>
        <w:tc>
          <w:tcPr>
            <w:tcW w:w="737" w:type="dxa"/>
            <w:tcBorders>
              <w:top w:val="nil"/>
              <w:left w:val="nil"/>
              <w:right w:val="nil"/>
            </w:tcBorders>
            <w:shd w:val="clear" w:color="auto" w:fill="auto"/>
            <w:vAlign w:val="center"/>
          </w:tcPr>
          <w:p w14:paraId="7CF452E8" w14:textId="2D1C720D" w:rsidR="00A20625" w:rsidRPr="00372D3F" w:rsidRDefault="00A20625" w:rsidP="00A20625">
            <w:pPr>
              <w:spacing w:after="0" w:line="240" w:lineRule="auto"/>
              <w:jc w:val="center"/>
              <w:rPr>
                <w:rFonts w:asciiTheme="majorHAnsi" w:hAnsiTheme="majorHAnsi" w:cstheme="majorHAnsi"/>
                <w:sz w:val="22"/>
              </w:rPr>
            </w:pPr>
            <w:r w:rsidRPr="00140B1E">
              <w:t>8%</w:t>
            </w:r>
          </w:p>
        </w:tc>
        <w:tc>
          <w:tcPr>
            <w:tcW w:w="737" w:type="dxa"/>
            <w:tcBorders>
              <w:top w:val="nil"/>
              <w:left w:val="nil"/>
              <w:right w:val="nil"/>
            </w:tcBorders>
            <w:shd w:val="clear" w:color="auto" w:fill="auto"/>
            <w:vAlign w:val="center"/>
          </w:tcPr>
          <w:p w14:paraId="441D7D8D" w14:textId="19D734AC" w:rsidR="00A20625" w:rsidRPr="00372D3F" w:rsidRDefault="00A20625" w:rsidP="00A20625">
            <w:pPr>
              <w:spacing w:after="0" w:line="240" w:lineRule="auto"/>
              <w:jc w:val="center"/>
              <w:rPr>
                <w:rFonts w:asciiTheme="majorHAnsi" w:hAnsiTheme="majorHAnsi" w:cstheme="majorHAnsi"/>
                <w:sz w:val="22"/>
              </w:rPr>
            </w:pPr>
            <w:r w:rsidRPr="00140B1E">
              <w:t>8%</w:t>
            </w:r>
          </w:p>
        </w:tc>
        <w:tc>
          <w:tcPr>
            <w:tcW w:w="737" w:type="dxa"/>
            <w:tcBorders>
              <w:top w:val="nil"/>
              <w:left w:val="nil"/>
              <w:right w:val="nil"/>
            </w:tcBorders>
            <w:shd w:val="clear" w:color="auto" w:fill="auto"/>
            <w:vAlign w:val="center"/>
          </w:tcPr>
          <w:p w14:paraId="3A665A06" w14:textId="249A6242" w:rsidR="00A20625" w:rsidRPr="00372D3F" w:rsidRDefault="00A20625" w:rsidP="00A20625">
            <w:pPr>
              <w:spacing w:after="0" w:line="240" w:lineRule="auto"/>
              <w:jc w:val="center"/>
              <w:rPr>
                <w:rFonts w:asciiTheme="majorHAnsi" w:hAnsiTheme="majorHAnsi" w:cstheme="majorHAnsi"/>
                <w:sz w:val="22"/>
              </w:rPr>
            </w:pPr>
            <w:r w:rsidRPr="00140B1E">
              <w:t>8%</w:t>
            </w:r>
          </w:p>
        </w:tc>
        <w:tc>
          <w:tcPr>
            <w:tcW w:w="737" w:type="dxa"/>
            <w:tcBorders>
              <w:top w:val="nil"/>
              <w:left w:val="nil"/>
              <w:right w:val="nil"/>
            </w:tcBorders>
            <w:shd w:val="clear" w:color="auto" w:fill="auto"/>
            <w:vAlign w:val="center"/>
          </w:tcPr>
          <w:p w14:paraId="03985CD1" w14:textId="250B6142" w:rsidR="00A20625" w:rsidRPr="00372D3F" w:rsidRDefault="00A20625" w:rsidP="00A20625">
            <w:pPr>
              <w:spacing w:after="0" w:line="240" w:lineRule="auto"/>
              <w:jc w:val="center"/>
              <w:rPr>
                <w:rFonts w:asciiTheme="majorHAnsi" w:hAnsiTheme="majorHAnsi" w:cstheme="majorHAnsi"/>
                <w:sz w:val="22"/>
              </w:rPr>
            </w:pPr>
            <w:r w:rsidRPr="00140B1E">
              <w:t>8%</w:t>
            </w:r>
          </w:p>
        </w:tc>
        <w:tc>
          <w:tcPr>
            <w:tcW w:w="737" w:type="dxa"/>
            <w:tcBorders>
              <w:top w:val="nil"/>
              <w:left w:val="nil"/>
              <w:right w:val="nil"/>
            </w:tcBorders>
            <w:shd w:val="clear" w:color="auto" w:fill="auto"/>
            <w:vAlign w:val="center"/>
          </w:tcPr>
          <w:p w14:paraId="072D8017" w14:textId="2CC14458" w:rsidR="00A20625" w:rsidRPr="00372D3F" w:rsidRDefault="00A20625" w:rsidP="00A20625">
            <w:pPr>
              <w:spacing w:after="0" w:line="240" w:lineRule="auto"/>
              <w:jc w:val="center"/>
              <w:rPr>
                <w:rFonts w:asciiTheme="majorHAnsi" w:hAnsiTheme="majorHAnsi" w:cstheme="majorHAnsi"/>
                <w:sz w:val="22"/>
              </w:rPr>
            </w:pPr>
            <w:r w:rsidRPr="00140B1E">
              <w:t>8%</w:t>
            </w:r>
          </w:p>
        </w:tc>
        <w:tc>
          <w:tcPr>
            <w:tcW w:w="737" w:type="dxa"/>
            <w:tcBorders>
              <w:top w:val="nil"/>
              <w:left w:val="nil"/>
              <w:right w:val="nil"/>
            </w:tcBorders>
            <w:shd w:val="clear" w:color="auto" w:fill="auto"/>
            <w:vAlign w:val="center"/>
          </w:tcPr>
          <w:p w14:paraId="7797B4BD" w14:textId="5B82B291" w:rsidR="00A20625" w:rsidRPr="00372D3F" w:rsidRDefault="00A20625" w:rsidP="00A20625">
            <w:pPr>
              <w:spacing w:after="0" w:line="240" w:lineRule="auto"/>
              <w:jc w:val="center"/>
              <w:rPr>
                <w:rFonts w:asciiTheme="majorHAnsi" w:hAnsiTheme="majorHAnsi" w:cstheme="majorHAnsi"/>
                <w:sz w:val="22"/>
              </w:rPr>
            </w:pPr>
            <w:r w:rsidRPr="00140B1E">
              <w:t>8%</w:t>
            </w:r>
          </w:p>
        </w:tc>
        <w:tc>
          <w:tcPr>
            <w:tcW w:w="737" w:type="dxa"/>
            <w:tcBorders>
              <w:top w:val="nil"/>
              <w:left w:val="nil"/>
              <w:right w:val="nil"/>
            </w:tcBorders>
            <w:shd w:val="clear" w:color="auto" w:fill="auto"/>
            <w:vAlign w:val="center"/>
          </w:tcPr>
          <w:p w14:paraId="11FDB451" w14:textId="3E3FD929" w:rsidR="00A20625" w:rsidRPr="00372D3F" w:rsidRDefault="00A20625" w:rsidP="00A20625">
            <w:pPr>
              <w:spacing w:after="0" w:line="240" w:lineRule="auto"/>
              <w:jc w:val="center"/>
              <w:rPr>
                <w:rFonts w:asciiTheme="majorHAnsi" w:hAnsiTheme="majorHAnsi" w:cstheme="majorHAnsi"/>
                <w:sz w:val="22"/>
              </w:rPr>
            </w:pPr>
            <w:r w:rsidRPr="00140B1E">
              <w:t>8%</w:t>
            </w:r>
          </w:p>
        </w:tc>
        <w:tc>
          <w:tcPr>
            <w:tcW w:w="737" w:type="dxa"/>
            <w:tcBorders>
              <w:top w:val="nil"/>
              <w:left w:val="nil"/>
              <w:right w:val="nil"/>
            </w:tcBorders>
            <w:shd w:val="clear" w:color="auto" w:fill="auto"/>
            <w:vAlign w:val="center"/>
          </w:tcPr>
          <w:p w14:paraId="4CFB526E" w14:textId="2AE63E51" w:rsidR="00A20625" w:rsidRPr="00372D3F" w:rsidRDefault="00A20625" w:rsidP="00A20625">
            <w:pPr>
              <w:spacing w:after="0" w:line="240" w:lineRule="auto"/>
              <w:jc w:val="center"/>
              <w:rPr>
                <w:rFonts w:asciiTheme="majorHAnsi" w:hAnsiTheme="majorHAnsi" w:cstheme="majorHAnsi"/>
                <w:sz w:val="22"/>
              </w:rPr>
            </w:pPr>
            <w:r w:rsidRPr="00140B1E">
              <w:t>8%</w:t>
            </w:r>
          </w:p>
        </w:tc>
      </w:tr>
      <w:tr w:rsidR="00A20625" w:rsidRPr="007D5465" w14:paraId="1E1BCC35" w14:textId="77777777" w:rsidTr="00A20625">
        <w:trPr>
          <w:gridAfter w:val="1"/>
          <w:wAfter w:w="2152" w:type="dxa"/>
          <w:trHeight w:val="680"/>
        </w:trPr>
        <w:tc>
          <w:tcPr>
            <w:tcW w:w="4536" w:type="dxa"/>
            <w:tcBorders>
              <w:top w:val="single" w:sz="4" w:space="0" w:color="auto"/>
              <w:bottom w:val="single" w:sz="4" w:space="0" w:color="auto"/>
              <w:right w:val="single" w:sz="4" w:space="0" w:color="auto"/>
            </w:tcBorders>
            <w:vAlign w:val="center"/>
          </w:tcPr>
          <w:p w14:paraId="794938E9" w14:textId="26546ABF" w:rsidR="00A20625" w:rsidRPr="00A8737D" w:rsidRDefault="00A20625" w:rsidP="00A20625">
            <w:pPr>
              <w:tabs>
                <w:tab w:val="left" w:pos="1169"/>
              </w:tabs>
              <w:spacing w:after="0" w:line="240" w:lineRule="auto"/>
              <w:jc w:val="left"/>
              <w:rPr>
                <w:sz w:val="22"/>
              </w:rPr>
            </w:pPr>
            <w:r w:rsidRPr="00A8737D">
              <w:rPr>
                <w:sz w:val="22"/>
              </w:rPr>
              <w:t>Priorytet 5</w:t>
            </w:r>
            <w:r w:rsidRPr="00A8737D">
              <w:rPr>
                <w:sz w:val="22"/>
              </w:rPr>
              <w:br/>
            </w:r>
            <w:r w:rsidRPr="00A8737D">
              <w:rPr>
                <w:rFonts w:eastAsia="Times New Roman"/>
                <w:sz w:val="22"/>
              </w:rPr>
              <w:t>Wsparcie doraźne</w:t>
            </w:r>
          </w:p>
        </w:tc>
        <w:tc>
          <w:tcPr>
            <w:tcW w:w="737" w:type="dxa"/>
            <w:tcBorders>
              <w:top w:val="nil"/>
              <w:left w:val="single" w:sz="4" w:space="0" w:color="auto"/>
              <w:right w:val="nil"/>
            </w:tcBorders>
            <w:shd w:val="clear" w:color="auto" w:fill="auto"/>
            <w:vAlign w:val="center"/>
          </w:tcPr>
          <w:p w14:paraId="091939C9" w14:textId="1584D688"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right w:val="nil"/>
            </w:tcBorders>
            <w:shd w:val="clear" w:color="auto" w:fill="auto"/>
            <w:vAlign w:val="center"/>
          </w:tcPr>
          <w:p w14:paraId="27CA804E" w14:textId="040CD065"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right w:val="nil"/>
            </w:tcBorders>
            <w:shd w:val="clear" w:color="auto" w:fill="auto"/>
            <w:vAlign w:val="center"/>
          </w:tcPr>
          <w:p w14:paraId="1EA8F13A" w14:textId="675A2AE6"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right w:val="nil"/>
            </w:tcBorders>
            <w:shd w:val="clear" w:color="auto" w:fill="auto"/>
            <w:vAlign w:val="center"/>
          </w:tcPr>
          <w:p w14:paraId="523AFD16" w14:textId="0F9ACA4C"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right w:val="nil"/>
            </w:tcBorders>
            <w:shd w:val="clear" w:color="auto" w:fill="auto"/>
            <w:vAlign w:val="center"/>
          </w:tcPr>
          <w:p w14:paraId="3C0C059E" w14:textId="42CB5F57"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right w:val="nil"/>
            </w:tcBorders>
            <w:shd w:val="clear" w:color="auto" w:fill="auto"/>
            <w:vAlign w:val="center"/>
          </w:tcPr>
          <w:p w14:paraId="344042F5" w14:textId="403F1529"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right w:val="nil"/>
            </w:tcBorders>
            <w:shd w:val="clear" w:color="auto" w:fill="auto"/>
            <w:vAlign w:val="center"/>
          </w:tcPr>
          <w:p w14:paraId="20559290" w14:textId="6FA9998A"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right w:val="nil"/>
            </w:tcBorders>
            <w:shd w:val="clear" w:color="auto" w:fill="auto"/>
            <w:vAlign w:val="center"/>
          </w:tcPr>
          <w:p w14:paraId="0DE464D3" w14:textId="7BD2B3D1"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right w:val="nil"/>
            </w:tcBorders>
            <w:shd w:val="clear" w:color="auto" w:fill="auto"/>
            <w:vAlign w:val="center"/>
          </w:tcPr>
          <w:p w14:paraId="0DFCA336" w14:textId="6365A7DE"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right w:val="nil"/>
            </w:tcBorders>
            <w:shd w:val="clear" w:color="auto" w:fill="auto"/>
            <w:vAlign w:val="center"/>
          </w:tcPr>
          <w:p w14:paraId="300DF6B5" w14:textId="050A9F98"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right w:val="nil"/>
            </w:tcBorders>
            <w:shd w:val="clear" w:color="auto" w:fill="auto"/>
            <w:vAlign w:val="center"/>
          </w:tcPr>
          <w:p w14:paraId="22BE380D" w14:textId="26BBA00A"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right w:val="nil"/>
            </w:tcBorders>
            <w:shd w:val="clear" w:color="auto" w:fill="auto"/>
            <w:vAlign w:val="center"/>
          </w:tcPr>
          <w:p w14:paraId="76790A55" w14:textId="5C24A959"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right w:val="nil"/>
            </w:tcBorders>
            <w:shd w:val="clear" w:color="auto" w:fill="auto"/>
            <w:vAlign w:val="center"/>
          </w:tcPr>
          <w:p w14:paraId="1C8E6740" w14:textId="5838DFAA" w:rsidR="00A20625" w:rsidRPr="00372D3F" w:rsidRDefault="00A20625" w:rsidP="00A20625">
            <w:pPr>
              <w:spacing w:after="0" w:line="240" w:lineRule="auto"/>
              <w:jc w:val="center"/>
              <w:rPr>
                <w:rFonts w:asciiTheme="majorHAnsi" w:hAnsiTheme="majorHAnsi" w:cstheme="majorHAnsi"/>
                <w:sz w:val="22"/>
              </w:rPr>
            </w:pPr>
            <w:r w:rsidRPr="00140B1E">
              <w:t>4%</w:t>
            </w:r>
          </w:p>
        </w:tc>
      </w:tr>
      <w:tr w:rsidR="00A20625" w:rsidRPr="007D5465" w14:paraId="3059F21A" w14:textId="77777777" w:rsidTr="00A20625">
        <w:trPr>
          <w:gridAfter w:val="1"/>
          <w:wAfter w:w="2152" w:type="dxa"/>
          <w:trHeight w:val="680"/>
        </w:trPr>
        <w:tc>
          <w:tcPr>
            <w:tcW w:w="4536" w:type="dxa"/>
            <w:tcBorders>
              <w:top w:val="single" w:sz="4" w:space="0" w:color="auto"/>
              <w:bottom w:val="single" w:sz="4" w:space="0" w:color="auto"/>
              <w:right w:val="single" w:sz="4" w:space="0" w:color="auto"/>
            </w:tcBorders>
            <w:vAlign w:val="center"/>
          </w:tcPr>
          <w:p w14:paraId="73FFBF69" w14:textId="77777777" w:rsidR="00A20625" w:rsidRPr="00A8737D" w:rsidRDefault="00A20625" w:rsidP="00A20625">
            <w:pPr>
              <w:tabs>
                <w:tab w:val="left" w:pos="1169"/>
              </w:tabs>
              <w:spacing w:after="0" w:line="240" w:lineRule="auto"/>
              <w:jc w:val="left"/>
              <w:rPr>
                <w:sz w:val="22"/>
              </w:rPr>
            </w:pPr>
            <w:r w:rsidRPr="00A8737D">
              <w:rPr>
                <w:sz w:val="22"/>
              </w:rPr>
              <w:t>Priorytet 6</w:t>
            </w:r>
          </w:p>
          <w:p w14:paraId="5097F6E3" w14:textId="21BCB6A2" w:rsidR="00A20625" w:rsidRPr="00A8737D" w:rsidRDefault="00A20625" w:rsidP="00A20625">
            <w:pPr>
              <w:tabs>
                <w:tab w:val="left" w:pos="1169"/>
              </w:tabs>
              <w:spacing w:after="0" w:line="240" w:lineRule="auto"/>
              <w:jc w:val="left"/>
              <w:rPr>
                <w:sz w:val="22"/>
              </w:rPr>
            </w:pPr>
            <w:r w:rsidRPr="00A8737D">
              <w:rPr>
                <w:sz w:val="22"/>
              </w:rPr>
              <w:t>Pomoc techniczna</w:t>
            </w:r>
          </w:p>
        </w:tc>
        <w:tc>
          <w:tcPr>
            <w:tcW w:w="737" w:type="dxa"/>
            <w:tcBorders>
              <w:top w:val="nil"/>
              <w:left w:val="single" w:sz="4" w:space="0" w:color="auto"/>
              <w:right w:val="nil"/>
            </w:tcBorders>
            <w:shd w:val="clear" w:color="auto" w:fill="auto"/>
            <w:vAlign w:val="center"/>
          </w:tcPr>
          <w:p w14:paraId="70E73B8D" w14:textId="6BDC4D6D"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right w:val="nil"/>
            </w:tcBorders>
            <w:shd w:val="clear" w:color="auto" w:fill="auto"/>
            <w:vAlign w:val="center"/>
          </w:tcPr>
          <w:p w14:paraId="71E48F4C" w14:textId="7D933B78"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right w:val="nil"/>
            </w:tcBorders>
            <w:shd w:val="clear" w:color="auto" w:fill="auto"/>
            <w:vAlign w:val="center"/>
          </w:tcPr>
          <w:p w14:paraId="685A5935" w14:textId="145D5884"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right w:val="nil"/>
            </w:tcBorders>
            <w:shd w:val="clear" w:color="auto" w:fill="auto"/>
            <w:vAlign w:val="center"/>
          </w:tcPr>
          <w:p w14:paraId="6D1D372B" w14:textId="5C198569"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right w:val="nil"/>
            </w:tcBorders>
            <w:shd w:val="clear" w:color="auto" w:fill="auto"/>
            <w:vAlign w:val="center"/>
          </w:tcPr>
          <w:p w14:paraId="14DA6290" w14:textId="5A1FF598"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right w:val="nil"/>
            </w:tcBorders>
            <w:shd w:val="clear" w:color="auto" w:fill="auto"/>
            <w:vAlign w:val="center"/>
          </w:tcPr>
          <w:p w14:paraId="1903DE32" w14:textId="171DAA01"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right w:val="nil"/>
            </w:tcBorders>
            <w:shd w:val="clear" w:color="auto" w:fill="auto"/>
            <w:vAlign w:val="center"/>
          </w:tcPr>
          <w:p w14:paraId="446FDA43" w14:textId="680F9D69"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right w:val="nil"/>
            </w:tcBorders>
            <w:shd w:val="clear" w:color="auto" w:fill="auto"/>
            <w:vAlign w:val="center"/>
          </w:tcPr>
          <w:p w14:paraId="12151BBA" w14:textId="3A16B610"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right w:val="nil"/>
            </w:tcBorders>
            <w:shd w:val="clear" w:color="auto" w:fill="auto"/>
            <w:vAlign w:val="center"/>
          </w:tcPr>
          <w:p w14:paraId="4ED56AD0" w14:textId="14535364"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right w:val="nil"/>
            </w:tcBorders>
            <w:shd w:val="clear" w:color="auto" w:fill="auto"/>
            <w:vAlign w:val="center"/>
          </w:tcPr>
          <w:p w14:paraId="6C6F88E6" w14:textId="5BB2D30E"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right w:val="nil"/>
            </w:tcBorders>
            <w:shd w:val="clear" w:color="auto" w:fill="auto"/>
            <w:vAlign w:val="center"/>
          </w:tcPr>
          <w:p w14:paraId="0DE3C982" w14:textId="7657B4F9"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right w:val="nil"/>
            </w:tcBorders>
            <w:shd w:val="clear" w:color="auto" w:fill="auto"/>
            <w:vAlign w:val="center"/>
          </w:tcPr>
          <w:p w14:paraId="76B62DB4" w14:textId="1DC69C16" w:rsidR="00A20625" w:rsidRPr="00372D3F" w:rsidRDefault="00A20625" w:rsidP="00A20625">
            <w:pPr>
              <w:spacing w:after="0" w:line="240" w:lineRule="auto"/>
              <w:jc w:val="center"/>
              <w:rPr>
                <w:rFonts w:asciiTheme="majorHAnsi" w:hAnsiTheme="majorHAnsi" w:cstheme="majorHAnsi"/>
                <w:sz w:val="22"/>
              </w:rPr>
            </w:pPr>
            <w:r w:rsidRPr="00140B1E">
              <w:t>4%</w:t>
            </w:r>
          </w:p>
        </w:tc>
        <w:tc>
          <w:tcPr>
            <w:tcW w:w="737" w:type="dxa"/>
            <w:tcBorders>
              <w:top w:val="nil"/>
              <w:left w:val="nil"/>
              <w:right w:val="nil"/>
            </w:tcBorders>
            <w:shd w:val="clear" w:color="auto" w:fill="auto"/>
            <w:vAlign w:val="center"/>
          </w:tcPr>
          <w:p w14:paraId="46045C69" w14:textId="675EB38F" w:rsidR="00A20625" w:rsidRPr="00372D3F" w:rsidRDefault="00A20625" w:rsidP="00A20625">
            <w:pPr>
              <w:spacing w:after="0" w:line="240" w:lineRule="auto"/>
              <w:jc w:val="center"/>
              <w:rPr>
                <w:rFonts w:asciiTheme="majorHAnsi" w:hAnsiTheme="majorHAnsi" w:cstheme="majorHAnsi"/>
                <w:sz w:val="22"/>
              </w:rPr>
            </w:pPr>
            <w:r w:rsidRPr="00140B1E">
              <w:t>4%</w:t>
            </w:r>
          </w:p>
        </w:tc>
      </w:tr>
      <w:tr w:rsidR="00A20625" w:rsidRPr="00F8182C" w14:paraId="1DC18C16" w14:textId="77777777" w:rsidTr="00A20625">
        <w:trPr>
          <w:gridAfter w:val="1"/>
          <w:wAfter w:w="2152" w:type="dxa"/>
          <w:trHeight w:val="454"/>
        </w:trPr>
        <w:tc>
          <w:tcPr>
            <w:tcW w:w="4536" w:type="dxa"/>
            <w:tcBorders>
              <w:top w:val="single" w:sz="4" w:space="0" w:color="auto"/>
            </w:tcBorders>
            <w:vAlign w:val="center"/>
          </w:tcPr>
          <w:p w14:paraId="2B75CB72" w14:textId="47FEDFDB" w:rsidR="00A20625" w:rsidRPr="00F8182C" w:rsidRDefault="00A20625" w:rsidP="00A20625">
            <w:pPr>
              <w:spacing w:after="0" w:line="240" w:lineRule="auto"/>
              <w:jc w:val="center"/>
              <w:rPr>
                <w:sz w:val="22"/>
              </w:rPr>
            </w:pPr>
          </w:p>
        </w:tc>
        <w:tc>
          <w:tcPr>
            <w:tcW w:w="737" w:type="dxa"/>
            <w:tcBorders>
              <w:left w:val="nil"/>
              <w:bottom w:val="nil"/>
              <w:right w:val="nil"/>
            </w:tcBorders>
            <w:shd w:val="clear" w:color="auto" w:fill="auto"/>
            <w:vAlign w:val="center"/>
          </w:tcPr>
          <w:p w14:paraId="610AA51C" w14:textId="6DD06D1D" w:rsidR="00A20625" w:rsidRPr="00372D3F" w:rsidRDefault="00A20625" w:rsidP="00A20625">
            <w:pPr>
              <w:spacing w:after="0" w:line="240" w:lineRule="auto"/>
              <w:jc w:val="center"/>
              <w:rPr>
                <w:rFonts w:asciiTheme="majorHAnsi" w:hAnsiTheme="majorHAnsi" w:cstheme="majorHAnsi"/>
                <w:sz w:val="22"/>
              </w:rPr>
            </w:pPr>
            <w:r w:rsidRPr="00372D3F">
              <w:rPr>
                <w:rFonts w:asciiTheme="majorHAnsi" w:hAnsiTheme="majorHAnsi" w:cstheme="majorHAnsi"/>
                <w:color w:val="000000"/>
                <w:sz w:val="22"/>
              </w:rPr>
              <w:t>100</w:t>
            </w:r>
            <w:r>
              <w:rPr>
                <w:rFonts w:asciiTheme="majorHAnsi" w:hAnsiTheme="majorHAnsi" w:cstheme="majorHAnsi"/>
                <w:color w:val="000000"/>
                <w:sz w:val="22"/>
              </w:rPr>
              <w:t>%</w:t>
            </w:r>
          </w:p>
        </w:tc>
        <w:tc>
          <w:tcPr>
            <w:tcW w:w="737" w:type="dxa"/>
            <w:tcBorders>
              <w:left w:val="nil"/>
              <w:bottom w:val="nil"/>
              <w:right w:val="nil"/>
            </w:tcBorders>
            <w:shd w:val="clear" w:color="auto" w:fill="auto"/>
            <w:vAlign w:val="center"/>
          </w:tcPr>
          <w:p w14:paraId="706D150F" w14:textId="395D3449" w:rsidR="00A20625" w:rsidRPr="00372D3F" w:rsidRDefault="00A20625" w:rsidP="00A20625">
            <w:pPr>
              <w:spacing w:after="0" w:line="240" w:lineRule="auto"/>
              <w:jc w:val="center"/>
              <w:rPr>
                <w:rFonts w:asciiTheme="majorHAnsi" w:hAnsiTheme="majorHAnsi" w:cstheme="majorHAnsi"/>
                <w:sz w:val="22"/>
              </w:rPr>
            </w:pPr>
            <w:r w:rsidRPr="00372D3F">
              <w:rPr>
                <w:rFonts w:asciiTheme="majorHAnsi" w:hAnsiTheme="majorHAnsi" w:cstheme="majorHAnsi"/>
                <w:color w:val="000000"/>
                <w:sz w:val="22"/>
              </w:rPr>
              <w:t>100</w:t>
            </w:r>
            <w:r>
              <w:rPr>
                <w:rFonts w:asciiTheme="majorHAnsi" w:hAnsiTheme="majorHAnsi" w:cstheme="majorHAnsi"/>
                <w:color w:val="000000"/>
                <w:sz w:val="22"/>
              </w:rPr>
              <w:t>%</w:t>
            </w:r>
          </w:p>
        </w:tc>
        <w:tc>
          <w:tcPr>
            <w:tcW w:w="737" w:type="dxa"/>
            <w:tcBorders>
              <w:left w:val="nil"/>
              <w:bottom w:val="nil"/>
              <w:right w:val="nil"/>
            </w:tcBorders>
            <w:shd w:val="clear" w:color="auto" w:fill="auto"/>
            <w:vAlign w:val="center"/>
          </w:tcPr>
          <w:p w14:paraId="23CDE440" w14:textId="06FF3F71" w:rsidR="00A20625" w:rsidRPr="00372D3F" w:rsidRDefault="00A20625" w:rsidP="00A20625">
            <w:pPr>
              <w:spacing w:after="0" w:line="240" w:lineRule="auto"/>
              <w:jc w:val="center"/>
              <w:rPr>
                <w:rFonts w:asciiTheme="majorHAnsi" w:hAnsiTheme="majorHAnsi" w:cstheme="majorHAnsi"/>
                <w:sz w:val="22"/>
              </w:rPr>
            </w:pPr>
            <w:r w:rsidRPr="00372D3F">
              <w:rPr>
                <w:rFonts w:asciiTheme="majorHAnsi" w:hAnsiTheme="majorHAnsi" w:cstheme="majorHAnsi"/>
                <w:color w:val="000000"/>
                <w:sz w:val="22"/>
              </w:rPr>
              <w:t>100</w:t>
            </w:r>
            <w:r>
              <w:rPr>
                <w:rFonts w:asciiTheme="majorHAnsi" w:hAnsiTheme="majorHAnsi" w:cstheme="majorHAnsi"/>
                <w:color w:val="000000"/>
                <w:sz w:val="22"/>
              </w:rPr>
              <w:t>%</w:t>
            </w:r>
          </w:p>
        </w:tc>
        <w:tc>
          <w:tcPr>
            <w:tcW w:w="737" w:type="dxa"/>
            <w:tcBorders>
              <w:left w:val="nil"/>
              <w:bottom w:val="nil"/>
              <w:right w:val="nil"/>
            </w:tcBorders>
            <w:shd w:val="clear" w:color="auto" w:fill="auto"/>
            <w:vAlign w:val="center"/>
          </w:tcPr>
          <w:p w14:paraId="2CBA3235" w14:textId="586952C4" w:rsidR="00A20625" w:rsidRPr="00372D3F" w:rsidRDefault="00A20625" w:rsidP="00A20625">
            <w:pPr>
              <w:spacing w:after="0" w:line="240" w:lineRule="auto"/>
              <w:jc w:val="center"/>
              <w:rPr>
                <w:rFonts w:asciiTheme="majorHAnsi" w:hAnsiTheme="majorHAnsi" w:cstheme="majorHAnsi"/>
                <w:sz w:val="22"/>
              </w:rPr>
            </w:pPr>
            <w:r w:rsidRPr="00372D3F">
              <w:rPr>
                <w:rFonts w:asciiTheme="majorHAnsi" w:hAnsiTheme="majorHAnsi" w:cstheme="majorHAnsi"/>
                <w:color w:val="000000"/>
                <w:sz w:val="22"/>
              </w:rPr>
              <w:t>100</w:t>
            </w:r>
            <w:r>
              <w:rPr>
                <w:rFonts w:asciiTheme="majorHAnsi" w:hAnsiTheme="majorHAnsi" w:cstheme="majorHAnsi"/>
                <w:color w:val="000000"/>
                <w:sz w:val="22"/>
              </w:rPr>
              <w:t>%</w:t>
            </w:r>
          </w:p>
        </w:tc>
        <w:tc>
          <w:tcPr>
            <w:tcW w:w="737" w:type="dxa"/>
            <w:tcBorders>
              <w:left w:val="nil"/>
              <w:bottom w:val="nil"/>
              <w:right w:val="nil"/>
            </w:tcBorders>
            <w:shd w:val="clear" w:color="auto" w:fill="auto"/>
            <w:vAlign w:val="center"/>
          </w:tcPr>
          <w:p w14:paraId="7E24F59D" w14:textId="7738A7D1" w:rsidR="00A20625" w:rsidRPr="00372D3F" w:rsidRDefault="00A20625" w:rsidP="00A20625">
            <w:pPr>
              <w:spacing w:after="0" w:line="240" w:lineRule="auto"/>
              <w:jc w:val="center"/>
              <w:rPr>
                <w:rFonts w:asciiTheme="majorHAnsi" w:hAnsiTheme="majorHAnsi" w:cstheme="majorHAnsi"/>
                <w:sz w:val="22"/>
              </w:rPr>
            </w:pPr>
            <w:r w:rsidRPr="00372D3F">
              <w:rPr>
                <w:rFonts w:asciiTheme="majorHAnsi" w:hAnsiTheme="majorHAnsi" w:cstheme="majorHAnsi"/>
                <w:color w:val="000000"/>
                <w:sz w:val="22"/>
              </w:rPr>
              <w:t>100</w:t>
            </w:r>
            <w:r>
              <w:rPr>
                <w:rFonts w:asciiTheme="majorHAnsi" w:hAnsiTheme="majorHAnsi" w:cstheme="majorHAnsi"/>
                <w:color w:val="000000"/>
                <w:sz w:val="22"/>
              </w:rPr>
              <w:t>%</w:t>
            </w:r>
          </w:p>
        </w:tc>
        <w:tc>
          <w:tcPr>
            <w:tcW w:w="737" w:type="dxa"/>
            <w:tcBorders>
              <w:left w:val="nil"/>
              <w:bottom w:val="nil"/>
              <w:right w:val="nil"/>
            </w:tcBorders>
            <w:shd w:val="clear" w:color="auto" w:fill="auto"/>
            <w:vAlign w:val="center"/>
          </w:tcPr>
          <w:p w14:paraId="6AEF8A7C" w14:textId="47ADC86E" w:rsidR="00A20625" w:rsidRPr="00372D3F" w:rsidRDefault="00A20625" w:rsidP="00A20625">
            <w:pPr>
              <w:spacing w:after="0" w:line="240" w:lineRule="auto"/>
              <w:jc w:val="center"/>
              <w:rPr>
                <w:rFonts w:asciiTheme="majorHAnsi" w:hAnsiTheme="majorHAnsi" w:cstheme="majorHAnsi"/>
                <w:sz w:val="22"/>
              </w:rPr>
            </w:pPr>
            <w:r w:rsidRPr="00372D3F">
              <w:rPr>
                <w:rFonts w:asciiTheme="majorHAnsi" w:hAnsiTheme="majorHAnsi" w:cstheme="majorHAnsi"/>
                <w:color w:val="000000"/>
                <w:sz w:val="22"/>
              </w:rPr>
              <w:t>100</w:t>
            </w:r>
            <w:r>
              <w:rPr>
                <w:rFonts w:asciiTheme="majorHAnsi" w:hAnsiTheme="majorHAnsi" w:cstheme="majorHAnsi"/>
                <w:color w:val="000000"/>
                <w:sz w:val="22"/>
              </w:rPr>
              <w:t>%</w:t>
            </w:r>
          </w:p>
        </w:tc>
        <w:tc>
          <w:tcPr>
            <w:tcW w:w="737" w:type="dxa"/>
            <w:tcBorders>
              <w:left w:val="nil"/>
              <w:bottom w:val="nil"/>
              <w:right w:val="nil"/>
            </w:tcBorders>
            <w:shd w:val="clear" w:color="auto" w:fill="auto"/>
            <w:vAlign w:val="center"/>
          </w:tcPr>
          <w:p w14:paraId="02A09A08" w14:textId="19BCA7F8" w:rsidR="00A20625" w:rsidRPr="00372D3F" w:rsidRDefault="00A20625" w:rsidP="00A20625">
            <w:pPr>
              <w:spacing w:after="0" w:line="240" w:lineRule="auto"/>
              <w:jc w:val="center"/>
              <w:rPr>
                <w:rFonts w:asciiTheme="majorHAnsi" w:hAnsiTheme="majorHAnsi" w:cstheme="majorHAnsi"/>
                <w:sz w:val="22"/>
              </w:rPr>
            </w:pPr>
            <w:r w:rsidRPr="00372D3F">
              <w:rPr>
                <w:rFonts w:asciiTheme="majorHAnsi" w:hAnsiTheme="majorHAnsi" w:cstheme="majorHAnsi"/>
                <w:color w:val="000000"/>
                <w:sz w:val="22"/>
              </w:rPr>
              <w:t>100</w:t>
            </w:r>
            <w:r>
              <w:rPr>
                <w:rFonts w:asciiTheme="majorHAnsi" w:hAnsiTheme="majorHAnsi" w:cstheme="majorHAnsi"/>
                <w:color w:val="000000"/>
                <w:sz w:val="22"/>
              </w:rPr>
              <w:t>%</w:t>
            </w:r>
          </w:p>
        </w:tc>
        <w:tc>
          <w:tcPr>
            <w:tcW w:w="737" w:type="dxa"/>
            <w:tcBorders>
              <w:left w:val="nil"/>
              <w:bottom w:val="nil"/>
              <w:right w:val="nil"/>
            </w:tcBorders>
            <w:shd w:val="clear" w:color="auto" w:fill="auto"/>
            <w:vAlign w:val="center"/>
          </w:tcPr>
          <w:p w14:paraId="6641D66F" w14:textId="7A1BC7D3" w:rsidR="00A20625" w:rsidRPr="00372D3F" w:rsidRDefault="00A20625" w:rsidP="00A20625">
            <w:pPr>
              <w:spacing w:after="0" w:line="240" w:lineRule="auto"/>
              <w:jc w:val="center"/>
              <w:rPr>
                <w:rFonts w:asciiTheme="majorHAnsi" w:hAnsiTheme="majorHAnsi" w:cstheme="majorHAnsi"/>
                <w:sz w:val="22"/>
              </w:rPr>
            </w:pPr>
            <w:r w:rsidRPr="00372D3F">
              <w:rPr>
                <w:rFonts w:asciiTheme="majorHAnsi" w:hAnsiTheme="majorHAnsi" w:cstheme="majorHAnsi"/>
                <w:color w:val="000000"/>
                <w:sz w:val="22"/>
              </w:rPr>
              <w:t>100</w:t>
            </w:r>
            <w:r>
              <w:rPr>
                <w:rFonts w:asciiTheme="majorHAnsi" w:hAnsiTheme="majorHAnsi" w:cstheme="majorHAnsi"/>
                <w:color w:val="000000"/>
                <w:sz w:val="22"/>
              </w:rPr>
              <w:t>%</w:t>
            </w:r>
          </w:p>
        </w:tc>
        <w:tc>
          <w:tcPr>
            <w:tcW w:w="737" w:type="dxa"/>
            <w:tcBorders>
              <w:left w:val="nil"/>
              <w:bottom w:val="nil"/>
              <w:right w:val="nil"/>
            </w:tcBorders>
            <w:shd w:val="clear" w:color="auto" w:fill="auto"/>
            <w:vAlign w:val="center"/>
          </w:tcPr>
          <w:p w14:paraId="06CC3CA4" w14:textId="7651B421" w:rsidR="00A20625" w:rsidRPr="00372D3F" w:rsidRDefault="00A20625" w:rsidP="00A20625">
            <w:pPr>
              <w:spacing w:after="0" w:line="240" w:lineRule="auto"/>
              <w:jc w:val="center"/>
              <w:rPr>
                <w:rFonts w:asciiTheme="majorHAnsi" w:hAnsiTheme="majorHAnsi" w:cstheme="majorHAnsi"/>
                <w:sz w:val="22"/>
              </w:rPr>
            </w:pPr>
            <w:r w:rsidRPr="00372D3F">
              <w:rPr>
                <w:rFonts w:asciiTheme="majorHAnsi" w:hAnsiTheme="majorHAnsi" w:cstheme="majorHAnsi"/>
                <w:color w:val="000000"/>
                <w:sz w:val="22"/>
              </w:rPr>
              <w:t>100</w:t>
            </w:r>
            <w:r>
              <w:rPr>
                <w:rFonts w:asciiTheme="majorHAnsi" w:hAnsiTheme="majorHAnsi" w:cstheme="majorHAnsi"/>
                <w:color w:val="000000"/>
                <w:sz w:val="22"/>
              </w:rPr>
              <w:t>%</w:t>
            </w:r>
          </w:p>
        </w:tc>
        <w:tc>
          <w:tcPr>
            <w:tcW w:w="737" w:type="dxa"/>
            <w:tcBorders>
              <w:left w:val="nil"/>
              <w:bottom w:val="nil"/>
              <w:right w:val="nil"/>
            </w:tcBorders>
            <w:shd w:val="clear" w:color="auto" w:fill="auto"/>
            <w:vAlign w:val="center"/>
          </w:tcPr>
          <w:p w14:paraId="643F21AA" w14:textId="1B2E2E8D" w:rsidR="00A20625" w:rsidRPr="00372D3F" w:rsidRDefault="00A20625" w:rsidP="00A20625">
            <w:pPr>
              <w:spacing w:after="0" w:line="240" w:lineRule="auto"/>
              <w:jc w:val="center"/>
              <w:rPr>
                <w:rFonts w:asciiTheme="majorHAnsi" w:hAnsiTheme="majorHAnsi" w:cstheme="majorHAnsi"/>
                <w:sz w:val="22"/>
              </w:rPr>
            </w:pPr>
            <w:r w:rsidRPr="00372D3F">
              <w:rPr>
                <w:rFonts w:asciiTheme="majorHAnsi" w:hAnsiTheme="majorHAnsi" w:cstheme="majorHAnsi"/>
                <w:color w:val="000000"/>
                <w:sz w:val="22"/>
              </w:rPr>
              <w:t>100</w:t>
            </w:r>
            <w:r>
              <w:rPr>
                <w:rFonts w:asciiTheme="majorHAnsi" w:hAnsiTheme="majorHAnsi" w:cstheme="majorHAnsi"/>
                <w:color w:val="000000"/>
                <w:sz w:val="22"/>
              </w:rPr>
              <w:t>%</w:t>
            </w:r>
          </w:p>
        </w:tc>
        <w:tc>
          <w:tcPr>
            <w:tcW w:w="737" w:type="dxa"/>
            <w:tcBorders>
              <w:left w:val="nil"/>
              <w:bottom w:val="nil"/>
              <w:right w:val="nil"/>
            </w:tcBorders>
            <w:shd w:val="clear" w:color="auto" w:fill="auto"/>
            <w:vAlign w:val="center"/>
          </w:tcPr>
          <w:p w14:paraId="64FB588A" w14:textId="7CE66B18" w:rsidR="00A20625" w:rsidRPr="00372D3F" w:rsidRDefault="00A20625" w:rsidP="00A20625">
            <w:pPr>
              <w:spacing w:after="0" w:line="240" w:lineRule="auto"/>
              <w:jc w:val="center"/>
              <w:rPr>
                <w:rFonts w:asciiTheme="majorHAnsi" w:hAnsiTheme="majorHAnsi" w:cstheme="majorHAnsi"/>
                <w:sz w:val="22"/>
              </w:rPr>
            </w:pPr>
            <w:r w:rsidRPr="00372D3F">
              <w:rPr>
                <w:rFonts w:asciiTheme="majorHAnsi" w:hAnsiTheme="majorHAnsi" w:cstheme="majorHAnsi"/>
                <w:color w:val="000000"/>
                <w:sz w:val="22"/>
              </w:rPr>
              <w:t>100</w:t>
            </w:r>
            <w:r>
              <w:rPr>
                <w:rFonts w:asciiTheme="majorHAnsi" w:hAnsiTheme="majorHAnsi" w:cstheme="majorHAnsi"/>
                <w:color w:val="000000"/>
                <w:sz w:val="22"/>
              </w:rPr>
              <w:t>%</w:t>
            </w:r>
          </w:p>
        </w:tc>
        <w:tc>
          <w:tcPr>
            <w:tcW w:w="737" w:type="dxa"/>
            <w:tcBorders>
              <w:left w:val="nil"/>
              <w:bottom w:val="nil"/>
              <w:right w:val="nil"/>
            </w:tcBorders>
            <w:shd w:val="clear" w:color="auto" w:fill="auto"/>
            <w:vAlign w:val="center"/>
          </w:tcPr>
          <w:p w14:paraId="1980818C" w14:textId="6929507B" w:rsidR="00A20625" w:rsidRPr="00372D3F" w:rsidRDefault="00A20625" w:rsidP="00A20625">
            <w:pPr>
              <w:spacing w:after="0" w:line="240" w:lineRule="auto"/>
              <w:jc w:val="center"/>
              <w:rPr>
                <w:rFonts w:asciiTheme="majorHAnsi" w:hAnsiTheme="majorHAnsi" w:cstheme="majorHAnsi"/>
                <w:sz w:val="22"/>
              </w:rPr>
            </w:pPr>
            <w:r w:rsidRPr="00372D3F">
              <w:rPr>
                <w:rFonts w:asciiTheme="majorHAnsi" w:hAnsiTheme="majorHAnsi" w:cstheme="majorHAnsi"/>
                <w:color w:val="000000"/>
                <w:sz w:val="22"/>
              </w:rPr>
              <w:t>100</w:t>
            </w:r>
            <w:r>
              <w:rPr>
                <w:rFonts w:asciiTheme="majorHAnsi" w:hAnsiTheme="majorHAnsi" w:cstheme="majorHAnsi"/>
                <w:color w:val="000000"/>
                <w:sz w:val="22"/>
              </w:rPr>
              <w:t>%</w:t>
            </w:r>
          </w:p>
        </w:tc>
        <w:tc>
          <w:tcPr>
            <w:tcW w:w="737" w:type="dxa"/>
            <w:tcBorders>
              <w:left w:val="nil"/>
              <w:bottom w:val="nil"/>
              <w:right w:val="nil"/>
            </w:tcBorders>
            <w:shd w:val="clear" w:color="auto" w:fill="auto"/>
            <w:vAlign w:val="center"/>
          </w:tcPr>
          <w:p w14:paraId="71F6A269" w14:textId="61A439AE" w:rsidR="00A20625" w:rsidRPr="00372D3F" w:rsidRDefault="00A20625" w:rsidP="00A20625">
            <w:pPr>
              <w:spacing w:after="0" w:line="240" w:lineRule="auto"/>
              <w:jc w:val="center"/>
              <w:rPr>
                <w:rFonts w:asciiTheme="majorHAnsi" w:hAnsiTheme="majorHAnsi" w:cstheme="majorHAnsi"/>
                <w:sz w:val="22"/>
              </w:rPr>
            </w:pPr>
            <w:r w:rsidRPr="00372D3F">
              <w:rPr>
                <w:rFonts w:asciiTheme="majorHAnsi" w:hAnsiTheme="majorHAnsi" w:cstheme="majorHAnsi"/>
                <w:color w:val="000000"/>
                <w:sz w:val="22"/>
              </w:rPr>
              <w:t>100</w:t>
            </w:r>
            <w:r>
              <w:rPr>
                <w:rFonts w:asciiTheme="majorHAnsi" w:hAnsiTheme="majorHAnsi" w:cstheme="majorHAnsi"/>
                <w:color w:val="000000"/>
                <w:sz w:val="22"/>
              </w:rPr>
              <w:t>%</w:t>
            </w:r>
          </w:p>
        </w:tc>
      </w:tr>
    </w:tbl>
    <w:p w14:paraId="41374F64" w14:textId="73DEA367" w:rsidR="007A6A28" w:rsidRDefault="007A6A28" w:rsidP="007A6A28">
      <w:pPr>
        <w:pStyle w:val="Legenda"/>
        <w:keepNext/>
        <w:spacing w:line="360" w:lineRule="auto"/>
      </w:pPr>
      <w:r>
        <w:lastRenderedPageBreak/>
        <w:t xml:space="preserve">Wykres </w:t>
      </w:r>
      <w:r w:rsidR="00876468">
        <w:fldChar w:fldCharType="begin"/>
      </w:r>
      <w:r w:rsidR="00876468">
        <w:instrText xml:space="preserve"> SEQ Wykres \* ARABIC </w:instrText>
      </w:r>
      <w:r w:rsidR="00876468">
        <w:fldChar w:fldCharType="separate"/>
      </w:r>
      <w:r w:rsidR="00E74C5A">
        <w:rPr>
          <w:noProof/>
        </w:rPr>
        <w:t>21</w:t>
      </w:r>
      <w:r w:rsidR="00876468">
        <w:rPr>
          <w:noProof/>
        </w:rPr>
        <w:fldChar w:fldCharType="end"/>
      </w:r>
      <w:r>
        <w:t>. Plan finansowy Programu Rozwoju Organizacji Obywatelskich</w:t>
      </w:r>
      <w:r w:rsidR="007515B5">
        <w:t xml:space="preserve"> w %</w:t>
      </w:r>
    </w:p>
    <w:p w14:paraId="61089C89" w14:textId="47BB6956" w:rsidR="00814873" w:rsidRDefault="00A20625" w:rsidP="007A6A28">
      <w:r>
        <w:rPr>
          <w:noProof/>
          <w:lang w:eastAsia="pl-PL"/>
        </w:rPr>
        <w:drawing>
          <wp:inline distT="0" distB="0" distL="0" distR="0" wp14:anchorId="50926BF7" wp14:editId="223D68C4">
            <wp:extent cx="8915400" cy="5429250"/>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CA04015" w14:textId="6A36F37E" w:rsidR="00A454ED" w:rsidRDefault="00A454ED" w:rsidP="00A454ED">
      <w:pPr>
        <w:pStyle w:val="Legenda"/>
        <w:keepNext/>
        <w:spacing w:line="360" w:lineRule="auto"/>
      </w:pPr>
      <w:r>
        <w:t xml:space="preserve">Tabela </w:t>
      </w:r>
      <w:r w:rsidR="00876468">
        <w:fldChar w:fldCharType="begin"/>
      </w:r>
      <w:r w:rsidR="00876468">
        <w:instrText xml:space="preserve"> SEQ Tabela \* ARABIC </w:instrText>
      </w:r>
      <w:r w:rsidR="00876468">
        <w:fldChar w:fldCharType="separate"/>
      </w:r>
      <w:r w:rsidR="00E74C5A">
        <w:rPr>
          <w:noProof/>
        </w:rPr>
        <w:t>5</w:t>
      </w:r>
      <w:r w:rsidR="00876468">
        <w:rPr>
          <w:noProof/>
        </w:rPr>
        <w:fldChar w:fldCharType="end"/>
      </w:r>
      <w:r>
        <w:t xml:space="preserve">. Plan finansowy Programu Rozwoju Organizacji Obywatelskich – w mln zł </w:t>
      </w:r>
    </w:p>
    <w:tbl>
      <w:tblPr>
        <w:tblStyle w:val="Tabela-Siatka"/>
        <w:tblW w:w="16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1"/>
        <w:gridCol w:w="761"/>
        <w:gridCol w:w="761"/>
        <w:gridCol w:w="761"/>
        <w:gridCol w:w="762"/>
        <w:gridCol w:w="762"/>
        <w:gridCol w:w="762"/>
        <w:gridCol w:w="761"/>
        <w:gridCol w:w="761"/>
        <w:gridCol w:w="761"/>
        <w:gridCol w:w="761"/>
        <w:gridCol w:w="761"/>
        <w:gridCol w:w="761"/>
        <w:gridCol w:w="761"/>
        <w:gridCol w:w="2122"/>
      </w:tblGrid>
      <w:tr w:rsidR="00814873" w:rsidRPr="00F8182C" w14:paraId="3D8099C6" w14:textId="77777777" w:rsidTr="00A454ED">
        <w:trPr>
          <w:trHeight w:val="397"/>
        </w:trPr>
        <w:tc>
          <w:tcPr>
            <w:tcW w:w="4251" w:type="dxa"/>
            <w:vMerge w:val="restart"/>
            <w:vAlign w:val="bottom"/>
          </w:tcPr>
          <w:p w14:paraId="532EE55E" w14:textId="77777777" w:rsidR="00814873" w:rsidRPr="00F8182C" w:rsidRDefault="00814873" w:rsidP="00814873">
            <w:pPr>
              <w:spacing w:after="0" w:line="240" w:lineRule="auto"/>
              <w:jc w:val="left"/>
              <w:rPr>
                <w:i/>
                <w:sz w:val="22"/>
              </w:rPr>
            </w:pPr>
            <w:r w:rsidRPr="00F8182C">
              <w:rPr>
                <w:i/>
                <w:sz w:val="22"/>
              </w:rPr>
              <w:t>Priorytet Programu</w:t>
            </w:r>
          </w:p>
        </w:tc>
        <w:tc>
          <w:tcPr>
            <w:tcW w:w="12018" w:type="dxa"/>
            <w:gridSpan w:val="14"/>
            <w:vAlign w:val="center"/>
          </w:tcPr>
          <w:p w14:paraId="49222209" w14:textId="2E129B5D" w:rsidR="00814873" w:rsidRPr="00F8182C" w:rsidRDefault="00814873" w:rsidP="00814873">
            <w:pPr>
              <w:spacing w:after="0" w:line="240" w:lineRule="auto"/>
              <w:ind w:right="-155"/>
              <w:jc w:val="center"/>
              <w:rPr>
                <w:i/>
                <w:sz w:val="22"/>
              </w:rPr>
            </w:pPr>
            <w:r w:rsidRPr="00F8182C">
              <w:rPr>
                <w:i/>
                <w:sz w:val="22"/>
              </w:rPr>
              <w:t>Środki na realiza</w:t>
            </w:r>
            <w:r>
              <w:rPr>
                <w:i/>
                <w:sz w:val="22"/>
              </w:rPr>
              <w:t>cję</w:t>
            </w:r>
            <w:r w:rsidR="00A454ED">
              <w:rPr>
                <w:i/>
                <w:sz w:val="22"/>
              </w:rPr>
              <w:t xml:space="preserve"> Programu w kolejnych latach w mln zł</w:t>
            </w:r>
          </w:p>
        </w:tc>
      </w:tr>
      <w:tr w:rsidR="00814873" w:rsidRPr="00F8182C" w14:paraId="60B31418" w14:textId="77777777" w:rsidTr="00A454ED">
        <w:trPr>
          <w:gridAfter w:val="1"/>
          <w:wAfter w:w="2122" w:type="dxa"/>
          <w:trHeight w:val="172"/>
        </w:trPr>
        <w:tc>
          <w:tcPr>
            <w:tcW w:w="4251" w:type="dxa"/>
            <w:vMerge/>
            <w:tcBorders>
              <w:bottom w:val="single" w:sz="4" w:space="0" w:color="auto"/>
            </w:tcBorders>
          </w:tcPr>
          <w:p w14:paraId="099806FE" w14:textId="77777777" w:rsidR="00814873" w:rsidRPr="00F8182C" w:rsidRDefault="00814873" w:rsidP="00814873">
            <w:pPr>
              <w:spacing w:after="0" w:line="240" w:lineRule="auto"/>
              <w:rPr>
                <w:i/>
                <w:sz w:val="22"/>
              </w:rPr>
            </w:pPr>
          </w:p>
        </w:tc>
        <w:tc>
          <w:tcPr>
            <w:tcW w:w="761" w:type="dxa"/>
            <w:tcBorders>
              <w:bottom w:val="single" w:sz="4" w:space="0" w:color="auto"/>
            </w:tcBorders>
            <w:vAlign w:val="center"/>
          </w:tcPr>
          <w:p w14:paraId="2850EB62" w14:textId="77777777" w:rsidR="00814873" w:rsidRPr="00F8182C" w:rsidRDefault="00814873" w:rsidP="00814873">
            <w:pPr>
              <w:spacing w:after="0" w:line="240" w:lineRule="auto"/>
              <w:jc w:val="center"/>
              <w:rPr>
                <w:i/>
                <w:sz w:val="22"/>
              </w:rPr>
            </w:pPr>
            <w:r w:rsidRPr="00F8182C">
              <w:rPr>
                <w:i/>
                <w:sz w:val="22"/>
              </w:rPr>
              <w:t>2018</w:t>
            </w:r>
          </w:p>
        </w:tc>
        <w:tc>
          <w:tcPr>
            <w:tcW w:w="761" w:type="dxa"/>
            <w:tcBorders>
              <w:bottom w:val="single" w:sz="4" w:space="0" w:color="auto"/>
            </w:tcBorders>
            <w:vAlign w:val="center"/>
          </w:tcPr>
          <w:p w14:paraId="4362CF6A" w14:textId="77777777" w:rsidR="00814873" w:rsidRPr="00F8182C" w:rsidRDefault="00814873" w:rsidP="00814873">
            <w:pPr>
              <w:spacing w:after="0" w:line="240" w:lineRule="auto"/>
              <w:jc w:val="center"/>
              <w:rPr>
                <w:i/>
                <w:sz w:val="22"/>
              </w:rPr>
            </w:pPr>
            <w:r w:rsidRPr="00F8182C">
              <w:rPr>
                <w:i/>
                <w:sz w:val="22"/>
              </w:rPr>
              <w:t>2019</w:t>
            </w:r>
          </w:p>
        </w:tc>
        <w:tc>
          <w:tcPr>
            <w:tcW w:w="761" w:type="dxa"/>
            <w:tcBorders>
              <w:bottom w:val="single" w:sz="4" w:space="0" w:color="auto"/>
            </w:tcBorders>
            <w:vAlign w:val="center"/>
          </w:tcPr>
          <w:p w14:paraId="40BBF3EB" w14:textId="77777777" w:rsidR="00814873" w:rsidRPr="00F8182C" w:rsidRDefault="00814873" w:rsidP="00814873">
            <w:pPr>
              <w:spacing w:after="0" w:line="240" w:lineRule="auto"/>
              <w:jc w:val="center"/>
              <w:rPr>
                <w:i/>
                <w:sz w:val="22"/>
              </w:rPr>
            </w:pPr>
            <w:r w:rsidRPr="00F8182C">
              <w:rPr>
                <w:i/>
                <w:sz w:val="22"/>
              </w:rPr>
              <w:t>2020</w:t>
            </w:r>
          </w:p>
        </w:tc>
        <w:tc>
          <w:tcPr>
            <w:tcW w:w="762" w:type="dxa"/>
            <w:tcBorders>
              <w:bottom w:val="single" w:sz="4" w:space="0" w:color="auto"/>
            </w:tcBorders>
            <w:vAlign w:val="center"/>
          </w:tcPr>
          <w:p w14:paraId="0589531E" w14:textId="77777777" w:rsidR="00814873" w:rsidRPr="00F8182C" w:rsidRDefault="00814873" w:rsidP="00814873">
            <w:pPr>
              <w:spacing w:after="0" w:line="240" w:lineRule="auto"/>
              <w:jc w:val="center"/>
              <w:rPr>
                <w:i/>
                <w:sz w:val="22"/>
              </w:rPr>
            </w:pPr>
            <w:r w:rsidRPr="00F8182C">
              <w:rPr>
                <w:i/>
                <w:sz w:val="22"/>
              </w:rPr>
              <w:t>2021</w:t>
            </w:r>
          </w:p>
        </w:tc>
        <w:tc>
          <w:tcPr>
            <w:tcW w:w="762" w:type="dxa"/>
            <w:tcBorders>
              <w:bottom w:val="single" w:sz="4" w:space="0" w:color="auto"/>
            </w:tcBorders>
            <w:vAlign w:val="center"/>
          </w:tcPr>
          <w:p w14:paraId="00466A16" w14:textId="77777777" w:rsidR="00814873" w:rsidRPr="00F8182C" w:rsidRDefault="00814873" w:rsidP="00814873">
            <w:pPr>
              <w:spacing w:after="0" w:line="240" w:lineRule="auto"/>
              <w:jc w:val="center"/>
              <w:rPr>
                <w:i/>
                <w:sz w:val="22"/>
              </w:rPr>
            </w:pPr>
            <w:r w:rsidRPr="00F8182C">
              <w:rPr>
                <w:i/>
                <w:sz w:val="22"/>
              </w:rPr>
              <w:t>2022</w:t>
            </w:r>
          </w:p>
        </w:tc>
        <w:tc>
          <w:tcPr>
            <w:tcW w:w="762" w:type="dxa"/>
            <w:tcBorders>
              <w:bottom w:val="single" w:sz="4" w:space="0" w:color="auto"/>
            </w:tcBorders>
            <w:vAlign w:val="center"/>
          </w:tcPr>
          <w:p w14:paraId="28608CB5" w14:textId="77777777" w:rsidR="00814873" w:rsidRPr="00F8182C" w:rsidRDefault="00814873" w:rsidP="00814873">
            <w:pPr>
              <w:spacing w:after="0" w:line="240" w:lineRule="auto"/>
              <w:jc w:val="center"/>
              <w:rPr>
                <w:i/>
                <w:sz w:val="22"/>
              </w:rPr>
            </w:pPr>
            <w:r w:rsidRPr="00F8182C">
              <w:rPr>
                <w:i/>
                <w:sz w:val="22"/>
              </w:rPr>
              <w:t>2023</w:t>
            </w:r>
          </w:p>
        </w:tc>
        <w:tc>
          <w:tcPr>
            <w:tcW w:w="761" w:type="dxa"/>
            <w:tcBorders>
              <w:bottom w:val="single" w:sz="4" w:space="0" w:color="auto"/>
            </w:tcBorders>
            <w:vAlign w:val="center"/>
          </w:tcPr>
          <w:p w14:paraId="1B02D6DF" w14:textId="77777777" w:rsidR="00814873" w:rsidRPr="00F8182C" w:rsidRDefault="00814873" w:rsidP="00814873">
            <w:pPr>
              <w:spacing w:after="0" w:line="240" w:lineRule="auto"/>
              <w:jc w:val="center"/>
              <w:rPr>
                <w:i/>
                <w:sz w:val="22"/>
              </w:rPr>
            </w:pPr>
            <w:r w:rsidRPr="00F8182C">
              <w:rPr>
                <w:i/>
                <w:sz w:val="22"/>
              </w:rPr>
              <w:t>2024</w:t>
            </w:r>
          </w:p>
        </w:tc>
        <w:tc>
          <w:tcPr>
            <w:tcW w:w="761" w:type="dxa"/>
            <w:tcBorders>
              <w:bottom w:val="single" w:sz="4" w:space="0" w:color="auto"/>
            </w:tcBorders>
            <w:vAlign w:val="center"/>
          </w:tcPr>
          <w:p w14:paraId="56F9E614" w14:textId="77777777" w:rsidR="00814873" w:rsidRPr="00F8182C" w:rsidRDefault="00814873" w:rsidP="00814873">
            <w:pPr>
              <w:spacing w:after="0" w:line="240" w:lineRule="auto"/>
              <w:jc w:val="center"/>
              <w:rPr>
                <w:i/>
                <w:sz w:val="22"/>
              </w:rPr>
            </w:pPr>
            <w:r w:rsidRPr="00F8182C">
              <w:rPr>
                <w:i/>
                <w:sz w:val="22"/>
              </w:rPr>
              <w:t>2025</w:t>
            </w:r>
          </w:p>
        </w:tc>
        <w:tc>
          <w:tcPr>
            <w:tcW w:w="761" w:type="dxa"/>
            <w:tcBorders>
              <w:bottom w:val="single" w:sz="4" w:space="0" w:color="auto"/>
            </w:tcBorders>
          </w:tcPr>
          <w:p w14:paraId="4BFC6887" w14:textId="77777777" w:rsidR="00814873" w:rsidRPr="00F8182C" w:rsidRDefault="00814873" w:rsidP="00814873">
            <w:pPr>
              <w:spacing w:after="0" w:line="240" w:lineRule="auto"/>
              <w:jc w:val="center"/>
              <w:rPr>
                <w:i/>
                <w:sz w:val="22"/>
              </w:rPr>
            </w:pPr>
            <w:r w:rsidRPr="00F8182C">
              <w:rPr>
                <w:i/>
                <w:sz w:val="22"/>
              </w:rPr>
              <w:t>2026</w:t>
            </w:r>
          </w:p>
        </w:tc>
        <w:tc>
          <w:tcPr>
            <w:tcW w:w="761" w:type="dxa"/>
            <w:tcBorders>
              <w:bottom w:val="single" w:sz="4" w:space="0" w:color="auto"/>
            </w:tcBorders>
          </w:tcPr>
          <w:p w14:paraId="2D42E606" w14:textId="77777777" w:rsidR="00814873" w:rsidRPr="00F8182C" w:rsidRDefault="00814873" w:rsidP="00814873">
            <w:pPr>
              <w:spacing w:after="0" w:line="240" w:lineRule="auto"/>
              <w:jc w:val="center"/>
              <w:rPr>
                <w:i/>
                <w:sz w:val="22"/>
              </w:rPr>
            </w:pPr>
            <w:r w:rsidRPr="00F8182C">
              <w:rPr>
                <w:i/>
                <w:sz w:val="22"/>
              </w:rPr>
              <w:t>2027</w:t>
            </w:r>
          </w:p>
        </w:tc>
        <w:tc>
          <w:tcPr>
            <w:tcW w:w="761" w:type="dxa"/>
            <w:tcBorders>
              <w:bottom w:val="single" w:sz="4" w:space="0" w:color="auto"/>
            </w:tcBorders>
          </w:tcPr>
          <w:p w14:paraId="7A7F4BFE" w14:textId="77777777" w:rsidR="00814873" w:rsidRPr="00F8182C" w:rsidRDefault="00814873" w:rsidP="00814873">
            <w:pPr>
              <w:spacing w:after="0" w:line="240" w:lineRule="auto"/>
              <w:jc w:val="center"/>
              <w:rPr>
                <w:i/>
                <w:sz w:val="22"/>
              </w:rPr>
            </w:pPr>
            <w:r w:rsidRPr="00F8182C">
              <w:rPr>
                <w:i/>
                <w:sz w:val="22"/>
              </w:rPr>
              <w:t>2028</w:t>
            </w:r>
          </w:p>
        </w:tc>
        <w:tc>
          <w:tcPr>
            <w:tcW w:w="761" w:type="dxa"/>
            <w:tcBorders>
              <w:bottom w:val="single" w:sz="4" w:space="0" w:color="auto"/>
            </w:tcBorders>
          </w:tcPr>
          <w:p w14:paraId="00934AFC" w14:textId="77777777" w:rsidR="00814873" w:rsidRPr="00F8182C" w:rsidRDefault="00814873" w:rsidP="00814873">
            <w:pPr>
              <w:spacing w:after="0" w:line="240" w:lineRule="auto"/>
              <w:jc w:val="center"/>
              <w:rPr>
                <w:i/>
                <w:sz w:val="22"/>
              </w:rPr>
            </w:pPr>
            <w:r w:rsidRPr="00F8182C">
              <w:rPr>
                <w:i/>
                <w:sz w:val="22"/>
              </w:rPr>
              <w:t>2029</w:t>
            </w:r>
          </w:p>
        </w:tc>
        <w:tc>
          <w:tcPr>
            <w:tcW w:w="761" w:type="dxa"/>
            <w:tcBorders>
              <w:bottom w:val="single" w:sz="4" w:space="0" w:color="auto"/>
            </w:tcBorders>
          </w:tcPr>
          <w:p w14:paraId="2DB054D4" w14:textId="77777777" w:rsidR="00814873" w:rsidRPr="00F8182C" w:rsidRDefault="00814873" w:rsidP="00814873">
            <w:pPr>
              <w:spacing w:after="0" w:line="240" w:lineRule="auto"/>
              <w:jc w:val="center"/>
              <w:rPr>
                <w:i/>
                <w:sz w:val="22"/>
              </w:rPr>
            </w:pPr>
            <w:r w:rsidRPr="00F8182C">
              <w:rPr>
                <w:i/>
                <w:sz w:val="22"/>
              </w:rPr>
              <w:t>2030</w:t>
            </w:r>
          </w:p>
        </w:tc>
      </w:tr>
      <w:tr w:rsidR="00A454ED" w:rsidRPr="007D5465" w14:paraId="0CDFDF92" w14:textId="77777777" w:rsidTr="00A454ED">
        <w:trPr>
          <w:gridAfter w:val="1"/>
          <w:wAfter w:w="2122" w:type="dxa"/>
          <w:trHeight w:val="806"/>
        </w:trPr>
        <w:tc>
          <w:tcPr>
            <w:tcW w:w="4251" w:type="dxa"/>
            <w:tcBorders>
              <w:top w:val="single" w:sz="4" w:space="0" w:color="auto"/>
              <w:bottom w:val="single" w:sz="4" w:space="0" w:color="auto"/>
              <w:right w:val="single" w:sz="4" w:space="0" w:color="auto"/>
            </w:tcBorders>
            <w:vAlign w:val="center"/>
          </w:tcPr>
          <w:p w14:paraId="5116C235" w14:textId="77777777" w:rsidR="00A454ED" w:rsidRPr="00A8737D" w:rsidRDefault="00A454ED" w:rsidP="00A454ED">
            <w:pPr>
              <w:tabs>
                <w:tab w:val="left" w:pos="1169"/>
              </w:tabs>
              <w:spacing w:after="0" w:line="240" w:lineRule="auto"/>
              <w:jc w:val="left"/>
              <w:rPr>
                <w:sz w:val="22"/>
              </w:rPr>
            </w:pPr>
            <w:r w:rsidRPr="00A8737D">
              <w:rPr>
                <w:sz w:val="22"/>
              </w:rPr>
              <w:t>Priorytet 1a</w:t>
            </w:r>
            <w:r w:rsidRPr="00A8737D">
              <w:rPr>
                <w:sz w:val="22"/>
              </w:rPr>
              <w:br/>
            </w:r>
            <w:r w:rsidRPr="00A8737D">
              <w:rPr>
                <w:rFonts w:eastAsia="Calibri"/>
                <w:sz w:val="22"/>
              </w:rPr>
              <w:t>Wsparcie działań misyjnych i rozwoju instytucjonalnego</w:t>
            </w:r>
          </w:p>
        </w:tc>
        <w:tc>
          <w:tcPr>
            <w:tcW w:w="761" w:type="dxa"/>
            <w:tcBorders>
              <w:top w:val="single" w:sz="4" w:space="0" w:color="auto"/>
              <w:left w:val="single" w:sz="4" w:space="0" w:color="auto"/>
              <w:bottom w:val="nil"/>
              <w:right w:val="nil"/>
            </w:tcBorders>
            <w:shd w:val="clear" w:color="auto" w:fill="auto"/>
            <w:vAlign w:val="center"/>
          </w:tcPr>
          <w:p w14:paraId="7125598C" w14:textId="092F88CE" w:rsidR="00A454ED" w:rsidRPr="00372D3F" w:rsidRDefault="00A454ED" w:rsidP="00A454ED">
            <w:pPr>
              <w:spacing w:after="0" w:line="240" w:lineRule="auto"/>
              <w:jc w:val="center"/>
              <w:rPr>
                <w:rFonts w:asciiTheme="majorHAnsi" w:hAnsiTheme="majorHAnsi" w:cstheme="majorHAnsi"/>
                <w:sz w:val="22"/>
              </w:rPr>
            </w:pPr>
            <w:r w:rsidRPr="005A1CE1">
              <w:t>29,7</w:t>
            </w:r>
          </w:p>
        </w:tc>
        <w:tc>
          <w:tcPr>
            <w:tcW w:w="761" w:type="dxa"/>
            <w:tcBorders>
              <w:top w:val="single" w:sz="4" w:space="0" w:color="auto"/>
              <w:left w:val="nil"/>
              <w:bottom w:val="nil"/>
              <w:right w:val="nil"/>
            </w:tcBorders>
            <w:shd w:val="clear" w:color="auto" w:fill="auto"/>
            <w:vAlign w:val="center"/>
          </w:tcPr>
          <w:p w14:paraId="40E93816" w14:textId="34E2DCCD" w:rsidR="00A454ED" w:rsidRPr="00372D3F" w:rsidRDefault="00A454ED" w:rsidP="00A454ED">
            <w:pPr>
              <w:spacing w:after="0" w:line="240" w:lineRule="auto"/>
              <w:jc w:val="center"/>
              <w:rPr>
                <w:rFonts w:asciiTheme="majorHAnsi" w:hAnsiTheme="majorHAnsi" w:cstheme="majorHAnsi"/>
                <w:sz w:val="22"/>
              </w:rPr>
            </w:pPr>
            <w:r w:rsidRPr="005A1CE1">
              <w:t>27,9</w:t>
            </w:r>
          </w:p>
        </w:tc>
        <w:tc>
          <w:tcPr>
            <w:tcW w:w="761" w:type="dxa"/>
            <w:tcBorders>
              <w:top w:val="single" w:sz="4" w:space="0" w:color="auto"/>
              <w:left w:val="nil"/>
              <w:bottom w:val="nil"/>
              <w:right w:val="nil"/>
            </w:tcBorders>
            <w:shd w:val="clear" w:color="auto" w:fill="auto"/>
            <w:vAlign w:val="center"/>
          </w:tcPr>
          <w:p w14:paraId="4E1970F1" w14:textId="141E8309" w:rsidR="00A454ED" w:rsidRPr="00372D3F" w:rsidRDefault="00A454ED" w:rsidP="00A454ED">
            <w:pPr>
              <w:spacing w:after="0" w:line="240" w:lineRule="auto"/>
              <w:jc w:val="center"/>
              <w:rPr>
                <w:rFonts w:asciiTheme="majorHAnsi" w:hAnsiTheme="majorHAnsi" w:cstheme="majorHAnsi"/>
                <w:sz w:val="22"/>
              </w:rPr>
            </w:pPr>
            <w:r w:rsidRPr="005A1CE1">
              <w:t>27,9</w:t>
            </w:r>
          </w:p>
        </w:tc>
        <w:tc>
          <w:tcPr>
            <w:tcW w:w="762" w:type="dxa"/>
            <w:tcBorders>
              <w:top w:val="single" w:sz="4" w:space="0" w:color="auto"/>
              <w:left w:val="nil"/>
              <w:bottom w:val="nil"/>
              <w:right w:val="nil"/>
            </w:tcBorders>
            <w:shd w:val="clear" w:color="auto" w:fill="auto"/>
            <w:vAlign w:val="center"/>
          </w:tcPr>
          <w:p w14:paraId="410EBC4C" w14:textId="17470A93" w:rsidR="00A454ED" w:rsidRPr="00372D3F" w:rsidRDefault="00A454ED" w:rsidP="00A454ED">
            <w:pPr>
              <w:spacing w:after="0" w:line="240" w:lineRule="auto"/>
              <w:jc w:val="center"/>
              <w:rPr>
                <w:rFonts w:asciiTheme="majorHAnsi" w:hAnsiTheme="majorHAnsi" w:cstheme="majorHAnsi"/>
                <w:sz w:val="22"/>
              </w:rPr>
            </w:pPr>
            <w:r w:rsidRPr="005A1CE1">
              <w:t>25,65</w:t>
            </w:r>
          </w:p>
        </w:tc>
        <w:tc>
          <w:tcPr>
            <w:tcW w:w="762" w:type="dxa"/>
            <w:tcBorders>
              <w:top w:val="single" w:sz="4" w:space="0" w:color="auto"/>
              <w:left w:val="nil"/>
              <w:bottom w:val="nil"/>
              <w:right w:val="nil"/>
            </w:tcBorders>
            <w:shd w:val="clear" w:color="auto" w:fill="auto"/>
            <w:vAlign w:val="center"/>
          </w:tcPr>
          <w:p w14:paraId="6D5A74EA" w14:textId="5070D44D" w:rsidR="00A454ED" w:rsidRPr="00372D3F" w:rsidRDefault="00A454ED" w:rsidP="00A454ED">
            <w:pPr>
              <w:spacing w:after="0" w:line="240" w:lineRule="auto"/>
              <w:jc w:val="center"/>
              <w:rPr>
                <w:rFonts w:asciiTheme="majorHAnsi" w:hAnsiTheme="majorHAnsi" w:cstheme="majorHAnsi"/>
                <w:sz w:val="22"/>
              </w:rPr>
            </w:pPr>
            <w:r w:rsidRPr="005A1CE1">
              <w:t>25,65</w:t>
            </w:r>
          </w:p>
        </w:tc>
        <w:tc>
          <w:tcPr>
            <w:tcW w:w="762" w:type="dxa"/>
            <w:tcBorders>
              <w:top w:val="single" w:sz="4" w:space="0" w:color="auto"/>
              <w:left w:val="nil"/>
              <w:bottom w:val="nil"/>
              <w:right w:val="nil"/>
            </w:tcBorders>
            <w:shd w:val="clear" w:color="auto" w:fill="auto"/>
            <w:vAlign w:val="center"/>
          </w:tcPr>
          <w:p w14:paraId="424435E2" w14:textId="35A307E7" w:rsidR="00A454ED" w:rsidRPr="00372D3F" w:rsidRDefault="00A454ED" w:rsidP="00A454ED">
            <w:pPr>
              <w:spacing w:after="0" w:line="240" w:lineRule="auto"/>
              <w:jc w:val="center"/>
              <w:rPr>
                <w:rFonts w:asciiTheme="majorHAnsi" w:hAnsiTheme="majorHAnsi" w:cstheme="majorHAnsi"/>
                <w:sz w:val="22"/>
              </w:rPr>
            </w:pPr>
            <w:r w:rsidRPr="005A1CE1">
              <w:t>25,65</w:t>
            </w:r>
          </w:p>
        </w:tc>
        <w:tc>
          <w:tcPr>
            <w:tcW w:w="761" w:type="dxa"/>
            <w:tcBorders>
              <w:top w:val="single" w:sz="4" w:space="0" w:color="auto"/>
              <w:left w:val="nil"/>
              <w:bottom w:val="nil"/>
              <w:right w:val="nil"/>
            </w:tcBorders>
            <w:shd w:val="clear" w:color="auto" w:fill="auto"/>
            <w:vAlign w:val="center"/>
          </w:tcPr>
          <w:p w14:paraId="4DD40920" w14:textId="3A01155B" w:rsidR="00A454ED" w:rsidRPr="00372D3F" w:rsidRDefault="00A454ED" w:rsidP="00A454ED">
            <w:pPr>
              <w:spacing w:after="0" w:line="240" w:lineRule="auto"/>
              <w:jc w:val="center"/>
              <w:rPr>
                <w:rFonts w:asciiTheme="majorHAnsi" w:hAnsiTheme="majorHAnsi" w:cstheme="majorHAnsi"/>
                <w:sz w:val="22"/>
              </w:rPr>
            </w:pPr>
            <w:r w:rsidRPr="005A1CE1">
              <w:t>22,5</w:t>
            </w:r>
          </w:p>
        </w:tc>
        <w:tc>
          <w:tcPr>
            <w:tcW w:w="761" w:type="dxa"/>
            <w:tcBorders>
              <w:top w:val="single" w:sz="4" w:space="0" w:color="auto"/>
              <w:left w:val="nil"/>
              <w:bottom w:val="nil"/>
              <w:right w:val="nil"/>
            </w:tcBorders>
            <w:shd w:val="clear" w:color="auto" w:fill="auto"/>
            <w:vAlign w:val="center"/>
          </w:tcPr>
          <w:p w14:paraId="5A6EEB49" w14:textId="62BF272D" w:rsidR="00A454ED" w:rsidRPr="00372D3F" w:rsidRDefault="00A454ED" w:rsidP="00A454ED">
            <w:pPr>
              <w:spacing w:after="0" w:line="240" w:lineRule="auto"/>
              <w:jc w:val="center"/>
              <w:rPr>
                <w:rFonts w:asciiTheme="majorHAnsi" w:hAnsiTheme="majorHAnsi" w:cstheme="majorHAnsi"/>
                <w:sz w:val="22"/>
              </w:rPr>
            </w:pPr>
            <w:r w:rsidRPr="005A1CE1">
              <w:t>21,6</w:t>
            </w:r>
          </w:p>
        </w:tc>
        <w:tc>
          <w:tcPr>
            <w:tcW w:w="761" w:type="dxa"/>
            <w:tcBorders>
              <w:top w:val="single" w:sz="4" w:space="0" w:color="auto"/>
              <w:left w:val="nil"/>
              <w:bottom w:val="nil"/>
              <w:right w:val="nil"/>
            </w:tcBorders>
            <w:shd w:val="clear" w:color="auto" w:fill="auto"/>
            <w:vAlign w:val="center"/>
          </w:tcPr>
          <w:p w14:paraId="6C45477A" w14:textId="1CE1C03F" w:rsidR="00A454ED" w:rsidRPr="00372D3F" w:rsidRDefault="00A454ED" w:rsidP="00A454ED">
            <w:pPr>
              <w:spacing w:after="0" w:line="240" w:lineRule="auto"/>
              <w:jc w:val="center"/>
              <w:rPr>
                <w:rFonts w:asciiTheme="majorHAnsi" w:hAnsiTheme="majorHAnsi" w:cstheme="majorHAnsi"/>
                <w:sz w:val="22"/>
              </w:rPr>
            </w:pPr>
            <w:r w:rsidRPr="005A1CE1">
              <w:t>21,6</w:t>
            </w:r>
          </w:p>
        </w:tc>
        <w:tc>
          <w:tcPr>
            <w:tcW w:w="761" w:type="dxa"/>
            <w:tcBorders>
              <w:top w:val="single" w:sz="4" w:space="0" w:color="auto"/>
              <w:left w:val="nil"/>
              <w:bottom w:val="nil"/>
              <w:right w:val="nil"/>
            </w:tcBorders>
            <w:shd w:val="clear" w:color="auto" w:fill="auto"/>
            <w:vAlign w:val="center"/>
          </w:tcPr>
          <w:p w14:paraId="38D40C1B" w14:textId="56633417" w:rsidR="00A454ED" w:rsidRPr="00372D3F" w:rsidRDefault="00A454ED" w:rsidP="00A454ED">
            <w:pPr>
              <w:spacing w:after="0" w:line="240" w:lineRule="auto"/>
              <w:jc w:val="center"/>
              <w:rPr>
                <w:rFonts w:asciiTheme="majorHAnsi" w:hAnsiTheme="majorHAnsi" w:cstheme="majorHAnsi"/>
                <w:sz w:val="22"/>
              </w:rPr>
            </w:pPr>
            <w:r w:rsidRPr="005A1CE1">
              <w:t>21,6</w:t>
            </w:r>
          </w:p>
        </w:tc>
        <w:tc>
          <w:tcPr>
            <w:tcW w:w="761" w:type="dxa"/>
            <w:tcBorders>
              <w:top w:val="single" w:sz="4" w:space="0" w:color="auto"/>
              <w:left w:val="nil"/>
              <w:bottom w:val="nil"/>
              <w:right w:val="nil"/>
            </w:tcBorders>
            <w:shd w:val="clear" w:color="auto" w:fill="auto"/>
            <w:vAlign w:val="center"/>
          </w:tcPr>
          <w:p w14:paraId="39E13A28" w14:textId="3A222DBB" w:rsidR="00A454ED" w:rsidRPr="00372D3F" w:rsidRDefault="00A454ED" w:rsidP="00A454ED">
            <w:pPr>
              <w:spacing w:after="0" w:line="240" w:lineRule="auto"/>
              <w:jc w:val="center"/>
              <w:rPr>
                <w:rFonts w:asciiTheme="majorHAnsi" w:hAnsiTheme="majorHAnsi" w:cstheme="majorHAnsi"/>
                <w:sz w:val="22"/>
              </w:rPr>
            </w:pPr>
            <w:r w:rsidRPr="005A1CE1">
              <w:t>21,6</w:t>
            </w:r>
          </w:p>
        </w:tc>
        <w:tc>
          <w:tcPr>
            <w:tcW w:w="761" w:type="dxa"/>
            <w:tcBorders>
              <w:top w:val="single" w:sz="4" w:space="0" w:color="auto"/>
              <w:left w:val="nil"/>
              <w:bottom w:val="nil"/>
              <w:right w:val="nil"/>
            </w:tcBorders>
            <w:shd w:val="clear" w:color="auto" w:fill="auto"/>
            <w:vAlign w:val="center"/>
          </w:tcPr>
          <w:p w14:paraId="1080DBEA" w14:textId="7CE118F6" w:rsidR="00A454ED" w:rsidRPr="00372D3F" w:rsidRDefault="00A454ED" w:rsidP="00A454ED">
            <w:pPr>
              <w:spacing w:after="0" w:line="240" w:lineRule="auto"/>
              <w:jc w:val="center"/>
              <w:rPr>
                <w:rFonts w:asciiTheme="majorHAnsi" w:hAnsiTheme="majorHAnsi" w:cstheme="majorHAnsi"/>
                <w:sz w:val="22"/>
              </w:rPr>
            </w:pPr>
            <w:r w:rsidRPr="005A1CE1">
              <w:t>21,6</w:t>
            </w:r>
          </w:p>
        </w:tc>
        <w:tc>
          <w:tcPr>
            <w:tcW w:w="761" w:type="dxa"/>
            <w:tcBorders>
              <w:top w:val="single" w:sz="4" w:space="0" w:color="auto"/>
              <w:left w:val="nil"/>
              <w:bottom w:val="nil"/>
              <w:right w:val="nil"/>
            </w:tcBorders>
            <w:shd w:val="clear" w:color="auto" w:fill="auto"/>
            <w:vAlign w:val="center"/>
          </w:tcPr>
          <w:p w14:paraId="3A814925" w14:textId="053FE246" w:rsidR="00A454ED" w:rsidRPr="00372D3F" w:rsidRDefault="00A454ED" w:rsidP="00A454ED">
            <w:pPr>
              <w:spacing w:after="0" w:line="240" w:lineRule="auto"/>
              <w:jc w:val="center"/>
              <w:rPr>
                <w:rFonts w:asciiTheme="majorHAnsi" w:hAnsiTheme="majorHAnsi" w:cstheme="majorHAnsi"/>
                <w:sz w:val="22"/>
              </w:rPr>
            </w:pPr>
            <w:r w:rsidRPr="005A1CE1">
              <w:t>21,6</w:t>
            </w:r>
          </w:p>
        </w:tc>
      </w:tr>
      <w:tr w:rsidR="00A454ED" w:rsidRPr="007D5465" w14:paraId="21C20BBA" w14:textId="77777777" w:rsidTr="00A454ED">
        <w:trPr>
          <w:gridAfter w:val="1"/>
          <w:wAfter w:w="2122" w:type="dxa"/>
          <w:trHeight w:val="806"/>
        </w:trPr>
        <w:tc>
          <w:tcPr>
            <w:tcW w:w="4251" w:type="dxa"/>
            <w:tcBorders>
              <w:top w:val="single" w:sz="4" w:space="0" w:color="auto"/>
              <w:bottom w:val="single" w:sz="4" w:space="0" w:color="auto"/>
              <w:right w:val="single" w:sz="4" w:space="0" w:color="auto"/>
            </w:tcBorders>
            <w:vAlign w:val="center"/>
          </w:tcPr>
          <w:p w14:paraId="03909053" w14:textId="77777777" w:rsidR="00A454ED" w:rsidRPr="00A8737D" w:rsidRDefault="00A454ED" w:rsidP="00A454ED">
            <w:pPr>
              <w:tabs>
                <w:tab w:val="left" w:pos="1169"/>
              </w:tabs>
              <w:spacing w:after="0" w:line="240" w:lineRule="auto"/>
              <w:jc w:val="left"/>
              <w:rPr>
                <w:sz w:val="22"/>
              </w:rPr>
            </w:pPr>
            <w:r w:rsidRPr="00A8737D">
              <w:rPr>
                <w:sz w:val="22"/>
              </w:rPr>
              <w:t>Priorytet 1b</w:t>
            </w:r>
            <w:r w:rsidRPr="00A8737D">
              <w:rPr>
                <w:sz w:val="22"/>
              </w:rPr>
              <w:br/>
            </w:r>
            <w:r w:rsidRPr="00A8737D">
              <w:rPr>
                <w:rFonts w:eastAsia="Calibri"/>
                <w:sz w:val="22"/>
              </w:rPr>
              <w:t>Dotacje na wkład własny</w:t>
            </w:r>
          </w:p>
        </w:tc>
        <w:tc>
          <w:tcPr>
            <w:tcW w:w="761" w:type="dxa"/>
            <w:tcBorders>
              <w:top w:val="nil"/>
              <w:left w:val="single" w:sz="4" w:space="0" w:color="auto"/>
              <w:bottom w:val="nil"/>
              <w:right w:val="nil"/>
            </w:tcBorders>
            <w:shd w:val="clear" w:color="auto" w:fill="auto"/>
            <w:vAlign w:val="center"/>
          </w:tcPr>
          <w:p w14:paraId="5BFD810A" w14:textId="4BE68AA2" w:rsidR="00A454ED" w:rsidRPr="00372D3F" w:rsidRDefault="00A454ED" w:rsidP="00A454ED">
            <w:pPr>
              <w:spacing w:after="0" w:line="240" w:lineRule="auto"/>
              <w:jc w:val="center"/>
              <w:rPr>
                <w:rFonts w:asciiTheme="majorHAnsi" w:hAnsiTheme="majorHAnsi" w:cstheme="majorHAnsi"/>
                <w:sz w:val="22"/>
              </w:rPr>
            </w:pPr>
            <w:r w:rsidRPr="005A1CE1">
              <w:t>0</w:t>
            </w:r>
          </w:p>
        </w:tc>
        <w:tc>
          <w:tcPr>
            <w:tcW w:w="761" w:type="dxa"/>
            <w:tcBorders>
              <w:top w:val="nil"/>
              <w:left w:val="nil"/>
              <w:bottom w:val="nil"/>
              <w:right w:val="nil"/>
            </w:tcBorders>
            <w:shd w:val="clear" w:color="auto" w:fill="auto"/>
            <w:vAlign w:val="center"/>
          </w:tcPr>
          <w:p w14:paraId="274C4203" w14:textId="3BDB16E3" w:rsidR="00A454ED" w:rsidRPr="00372D3F" w:rsidRDefault="00A454ED" w:rsidP="00A454ED">
            <w:pPr>
              <w:spacing w:after="0" w:line="240" w:lineRule="auto"/>
              <w:jc w:val="center"/>
              <w:rPr>
                <w:rFonts w:asciiTheme="majorHAnsi" w:hAnsiTheme="majorHAnsi" w:cstheme="majorHAnsi"/>
                <w:sz w:val="22"/>
              </w:rPr>
            </w:pPr>
            <w:r w:rsidRPr="005A1CE1">
              <w:t>1,8</w:t>
            </w:r>
          </w:p>
        </w:tc>
        <w:tc>
          <w:tcPr>
            <w:tcW w:w="761" w:type="dxa"/>
            <w:tcBorders>
              <w:top w:val="nil"/>
              <w:left w:val="nil"/>
              <w:bottom w:val="nil"/>
              <w:right w:val="nil"/>
            </w:tcBorders>
            <w:shd w:val="clear" w:color="auto" w:fill="auto"/>
            <w:vAlign w:val="center"/>
          </w:tcPr>
          <w:p w14:paraId="338D3DB7" w14:textId="18BCE95B" w:rsidR="00A454ED" w:rsidRPr="00372D3F" w:rsidRDefault="00A454ED" w:rsidP="00A454ED">
            <w:pPr>
              <w:spacing w:after="0" w:line="240" w:lineRule="auto"/>
              <w:jc w:val="center"/>
              <w:rPr>
                <w:rFonts w:asciiTheme="majorHAnsi" w:hAnsiTheme="majorHAnsi" w:cstheme="majorHAnsi"/>
                <w:sz w:val="22"/>
              </w:rPr>
            </w:pPr>
            <w:r w:rsidRPr="005A1CE1">
              <w:t>1,8</w:t>
            </w:r>
          </w:p>
        </w:tc>
        <w:tc>
          <w:tcPr>
            <w:tcW w:w="762" w:type="dxa"/>
            <w:tcBorders>
              <w:top w:val="nil"/>
              <w:left w:val="nil"/>
              <w:bottom w:val="nil"/>
              <w:right w:val="nil"/>
            </w:tcBorders>
            <w:shd w:val="clear" w:color="auto" w:fill="auto"/>
            <w:vAlign w:val="center"/>
          </w:tcPr>
          <w:p w14:paraId="4C855A0A" w14:textId="1880C06D" w:rsidR="00A454ED" w:rsidRPr="00372D3F" w:rsidRDefault="00A454ED" w:rsidP="00A454ED">
            <w:pPr>
              <w:spacing w:after="0" w:line="240" w:lineRule="auto"/>
              <w:jc w:val="center"/>
              <w:rPr>
                <w:rFonts w:asciiTheme="majorHAnsi" w:hAnsiTheme="majorHAnsi" w:cstheme="majorHAnsi"/>
                <w:sz w:val="22"/>
              </w:rPr>
            </w:pPr>
            <w:r w:rsidRPr="005A1CE1">
              <w:t>1,8</w:t>
            </w:r>
          </w:p>
        </w:tc>
        <w:tc>
          <w:tcPr>
            <w:tcW w:w="762" w:type="dxa"/>
            <w:tcBorders>
              <w:top w:val="nil"/>
              <w:left w:val="nil"/>
              <w:bottom w:val="nil"/>
              <w:right w:val="nil"/>
            </w:tcBorders>
            <w:shd w:val="clear" w:color="auto" w:fill="auto"/>
            <w:vAlign w:val="center"/>
          </w:tcPr>
          <w:p w14:paraId="32DC1331" w14:textId="50AB99D9" w:rsidR="00A454ED" w:rsidRPr="00372D3F" w:rsidRDefault="00A454ED" w:rsidP="00A454ED">
            <w:pPr>
              <w:spacing w:after="0" w:line="240" w:lineRule="auto"/>
              <w:jc w:val="center"/>
              <w:rPr>
                <w:rFonts w:asciiTheme="majorHAnsi" w:hAnsiTheme="majorHAnsi" w:cstheme="majorHAnsi"/>
                <w:sz w:val="22"/>
              </w:rPr>
            </w:pPr>
            <w:r w:rsidRPr="005A1CE1">
              <w:t>1,8</w:t>
            </w:r>
          </w:p>
        </w:tc>
        <w:tc>
          <w:tcPr>
            <w:tcW w:w="762" w:type="dxa"/>
            <w:tcBorders>
              <w:top w:val="nil"/>
              <w:left w:val="nil"/>
              <w:bottom w:val="nil"/>
              <w:right w:val="nil"/>
            </w:tcBorders>
            <w:shd w:val="clear" w:color="auto" w:fill="auto"/>
            <w:vAlign w:val="center"/>
          </w:tcPr>
          <w:p w14:paraId="3FD9054F" w14:textId="63EFA309" w:rsidR="00A454ED" w:rsidRPr="00372D3F" w:rsidRDefault="00A454ED" w:rsidP="00A454ED">
            <w:pPr>
              <w:spacing w:after="0" w:line="240" w:lineRule="auto"/>
              <w:jc w:val="center"/>
              <w:rPr>
                <w:rFonts w:asciiTheme="majorHAnsi" w:hAnsiTheme="majorHAnsi" w:cstheme="majorHAnsi"/>
                <w:sz w:val="22"/>
              </w:rPr>
            </w:pPr>
            <w:r w:rsidRPr="005A1CE1">
              <w:t>1,8</w:t>
            </w:r>
          </w:p>
        </w:tc>
        <w:tc>
          <w:tcPr>
            <w:tcW w:w="761" w:type="dxa"/>
            <w:tcBorders>
              <w:top w:val="nil"/>
              <w:left w:val="nil"/>
              <w:bottom w:val="nil"/>
              <w:right w:val="nil"/>
            </w:tcBorders>
            <w:shd w:val="clear" w:color="auto" w:fill="auto"/>
            <w:vAlign w:val="center"/>
          </w:tcPr>
          <w:p w14:paraId="03AD7E9F" w14:textId="0B7FF7E1" w:rsidR="00A454ED" w:rsidRPr="00372D3F" w:rsidRDefault="00A454ED" w:rsidP="00A454ED">
            <w:pPr>
              <w:spacing w:after="0" w:line="240" w:lineRule="auto"/>
              <w:jc w:val="center"/>
              <w:rPr>
                <w:rFonts w:asciiTheme="majorHAnsi" w:hAnsiTheme="majorHAnsi" w:cstheme="majorHAnsi"/>
                <w:sz w:val="22"/>
              </w:rPr>
            </w:pPr>
            <w:r w:rsidRPr="005A1CE1">
              <w:t>1,8</w:t>
            </w:r>
          </w:p>
        </w:tc>
        <w:tc>
          <w:tcPr>
            <w:tcW w:w="761" w:type="dxa"/>
            <w:tcBorders>
              <w:top w:val="nil"/>
              <w:left w:val="nil"/>
              <w:bottom w:val="nil"/>
              <w:right w:val="nil"/>
            </w:tcBorders>
            <w:shd w:val="clear" w:color="auto" w:fill="auto"/>
            <w:vAlign w:val="center"/>
          </w:tcPr>
          <w:p w14:paraId="31DF41D9" w14:textId="2AE6C3CA" w:rsidR="00A454ED" w:rsidRPr="00372D3F" w:rsidRDefault="00A454ED" w:rsidP="00A454ED">
            <w:pPr>
              <w:spacing w:after="0" w:line="240" w:lineRule="auto"/>
              <w:jc w:val="center"/>
              <w:rPr>
                <w:rFonts w:asciiTheme="majorHAnsi" w:hAnsiTheme="majorHAnsi" w:cstheme="majorHAnsi"/>
                <w:sz w:val="22"/>
              </w:rPr>
            </w:pPr>
            <w:r w:rsidRPr="005A1CE1">
              <w:t>1,8</w:t>
            </w:r>
          </w:p>
        </w:tc>
        <w:tc>
          <w:tcPr>
            <w:tcW w:w="761" w:type="dxa"/>
            <w:tcBorders>
              <w:top w:val="nil"/>
              <w:left w:val="nil"/>
              <w:bottom w:val="nil"/>
              <w:right w:val="nil"/>
            </w:tcBorders>
            <w:shd w:val="clear" w:color="auto" w:fill="auto"/>
            <w:vAlign w:val="center"/>
          </w:tcPr>
          <w:p w14:paraId="5CEE027D" w14:textId="67A59B3A" w:rsidR="00A454ED" w:rsidRPr="00372D3F" w:rsidRDefault="00A454ED" w:rsidP="00A454ED">
            <w:pPr>
              <w:spacing w:after="0" w:line="240" w:lineRule="auto"/>
              <w:jc w:val="center"/>
              <w:rPr>
                <w:rFonts w:asciiTheme="majorHAnsi" w:hAnsiTheme="majorHAnsi" w:cstheme="majorHAnsi"/>
                <w:sz w:val="22"/>
              </w:rPr>
            </w:pPr>
            <w:r w:rsidRPr="005A1CE1">
              <w:t>1,8</w:t>
            </w:r>
          </w:p>
        </w:tc>
        <w:tc>
          <w:tcPr>
            <w:tcW w:w="761" w:type="dxa"/>
            <w:tcBorders>
              <w:top w:val="nil"/>
              <w:left w:val="nil"/>
              <w:bottom w:val="nil"/>
              <w:right w:val="nil"/>
            </w:tcBorders>
            <w:shd w:val="clear" w:color="auto" w:fill="auto"/>
            <w:vAlign w:val="center"/>
          </w:tcPr>
          <w:p w14:paraId="31E25B64" w14:textId="6F86FF35" w:rsidR="00A454ED" w:rsidRPr="00372D3F" w:rsidRDefault="00A454ED" w:rsidP="00A454ED">
            <w:pPr>
              <w:spacing w:after="0" w:line="240" w:lineRule="auto"/>
              <w:jc w:val="center"/>
              <w:rPr>
                <w:rFonts w:asciiTheme="majorHAnsi" w:hAnsiTheme="majorHAnsi" w:cstheme="majorHAnsi"/>
                <w:sz w:val="22"/>
              </w:rPr>
            </w:pPr>
            <w:r w:rsidRPr="005A1CE1">
              <w:t>1,8</w:t>
            </w:r>
          </w:p>
        </w:tc>
        <w:tc>
          <w:tcPr>
            <w:tcW w:w="761" w:type="dxa"/>
            <w:tcBorders>
              <w:top w:val="nil"/>
              <w:left w:val="nil"/>
              <w:bottom w:val="nil"/>
              <w:right w:val="nil"/>
            </w:tcBorders>
            <w:shd w:val="clear" w:color="auto" w:fill="auto"/>
            <w:vAlign w:val="center"/>
          </w:tcPr>
          <w:p w14:paraId="53D8C6F8" w14:textId="0976619E" w:rsidR="00A454ED" w:rsidRPr="00372D3F" w:rsidRDefault="00A454ED" w:rsidP="00A454ED">
            <w:pPr>
              <w:spacing w:after="0" w:line="240" w:lineRule="auto"/>
              <w:jc w:val="center"/>
              <w:rPr>
                <w:rFonts w:asciiTheme="majorHAnsi" w:hAnsiTheme="majorHAnsi" w:cstheme="majorHAnsi"/>
                <w:sz w:val="22"/>
              </w:rPr>
            </w:pPr>
            <w:r w:rsidRPr="005A1CE1">
              <w:t>1,8</w:t>
            </w:r>
          </w:p>
        </w:tc>
        <w:tc>
          <w:tcPr>
            <w:tcW w:w="761" w:type="dxa"/>
            <w:tcBorders>
              <w:top w:val="nil"/>
              <w:left w:val="nil"/>
              <w:bottom w:val="nil"/>
              <w:right w:val="nil"/>
            </w:tcBorders>
            <w:shd w:val="clear" w:color="auto" w:fill="auto"/>
            <w:vAlign w:val="center"/>
          </w:tcPr>
          <w:p w14:paraId="3E560869" w14:textId="0FFDCE82" w:rsidR="00A454ED" w:rsidRPr="00372D3F" w:rsidRDefault="00A454ED" w:rsidP="00A454ED">
            <w:pPr>
              <w:spacing w:after="0" w:line="240" w:lineRule="auto"/>
              <w:jc w:val="center"/>
              <w:rPr>
                <w:rFonts w:asciiTheme="majorHAnsi" w:hAnsiTheme="majorHAnsi" w:cstheme="majorHAnsi"/>
                <w:sz w:val="22"/>
              </w:rPr>
            </w:pPr>
            <w:r w:rsidRPr="005A1CE1">
              <w:t>1,8</w:t>
            </w:r>
          </w:p>
        </w:tc>
        <w:tc>
          <w:tcPr>
            <w:tcW w:w="761" w:type="dxa"/>
            <w:tcBorders>
              <w:top w:val="nil"/>
              <w:left w:val="nil"/>
              <w:bottom w:val="nil"/>
              <w:right w:val="nil"/>
            </w:tcBorders>
            <w:shd w:val="clear" w:color="auto" w:fill="auto"/>
            <w:vAlign w:val="center"/>
          </w:tcPr>
          <w:p w14:paraId="058D88B4" w14:textId="5E345D1F" w:rsidR="00A454ED" w:rsidRPr="00372D3F" w:rsidRDefault="00A454ED" w:rsidP="00A454ED">
            <w:pPr>
              <w:spacing w:after="0" w:line="240" w:lineRule="auto"/>
              <w:jc w:val="center"/>
              <w:rPr>
                <w:rFonts w:asciiTheme="majorHAnsi" w:hAnsiTheme="majorHAnsi" w:cstheme="majorHAnsi"/>
                <w:sz w:val="22"/>
              </w:rPr>
            </w:pPr>
            <w:r w:rsidRPr="005A1CE1">
              <w:t>1,8</w:t>
            </w:r>
          </w:p>
        </w:tc>
      </w:tr>
      <w:tr w:rsidR="00A454ED" w:rsidRPr="007D5465" w14:paraId="45953E89" w14:textId="77777777" w:rsidTr="00A454ED">
        <w:trPr>
          <w:gridAfter w:val="1"/>
          <w:wAfter w:w="2122" w:type="dxa"/>
          <w:trHeight w:val="806"/>
        </w:trPr>
        <w:tc>
          <w:tcPr>
            <w:tcW w:w="4251" w:type="dxa"/>
            <w:tcBorders>
              <w:top w:val="single" w:sz="4" w:space="0" w:color="auto"/>
              <w:bottom w:val="single" w:sz="4" w:space="0" w:color="auto"/>
              <w:right w:val="single" w:sz="4" w:space="0" w:color="auto"/>
            </w:tcBorders>
            <w:vAlign w:val="center"/>
          </w:tcPr>
          <w:p w14:paraId="2C48AA19" w14:textId="77777777" w:rsidR="00A454ED" w:rsidRPr="00A8737D" w:rsidRDefault="00A454ED" w:rsidP="00A454ED">
            <w:pPr>
              <w:tabs>
                <w:tab w:val="left" w:pos="1169"/>
              </w:tabs>
              <w:spacing w:after="0" w:line="240" w:lineRule="auto"/>
              <w:jc w:val="left"/>
              <w:rPr>
                <w:b/>
                <w:sz w:val="22"/>
              </w:rPr>
            </w:pPr>
            <w:r w:rsidRPr="00A8737D">
              <w:rPr>
                <w:sz w:val="22"/>
              </w:rPr>
              <w:t>Priorytet 2a</w:t>
            </w:r>
            <w:r w:rsidRPr="00A8737D">
              <w:rPr>
                <w:sz w:val="22"/>
              </w:rPr>
              <w:br/>
            </w:r>
            <w:r w:rsidRPr="00A8737D">
              <w:rPr>
                <w:rFonts w:eastAsia="Calibri"/>
                <w:sz w:val="22"/>
                <w:lang w:eastAsia="pl-PL"/>
              </w:rPr>
              <w:t>Dotacje operacyjne na wsparcie budowy początkowych kapitałów żelaznych</w:t>
            </w:r>
          </w:p>
        </w:tc>
        <w:tc>
          <w:tcPr>
            <w:tcW w:w="761" w:type="dxa"/>
            <w:tcBorders>
              <w:top w:val="nil"/>
              <w:left w:val="single" w:sz="4" w:space="0" w:color="auto"/>
              <w:bottom w:val="nil"/>
              <w:right w:val="nil"/>
            </w:tcBorders>
            <w:shd w:val="clear" w:color="auto" w:fill="auto"/>
            <w:vAlign w:val="center"/>
          </w:tcPr>
          <w:p w14:paraId="7AB25E84" w14:textId="0E36A629" w:rsidR="00A454ED" w:rsidRPr="00372D3F" w:rsidRDefault="00A454ED" w:rsidP="00A454ED">
            <w:pPr>
              <w:spacing w:after="0" w:line="240" w:lineRule="auto"/>
              <w:jc w:val="center"/>
              <w:rPr>
                <w:rFonts w:asciiTheme="majorHAnsi" w:hAnsiTheme="majorHAnsi" w:cstheme="majorHAnsi"/>
                <w:sz w:val="22"/>
              </w:rPr>
            </w:pPr>
            <w:r w:rsidRPr="005A1CE1">
              <w:t>4,5</w:t>
            </w:r>
          </w:p>
        </w:tc>
        <w:tc>
          <w:tcPr>
            <w:tcW w:w="761" w:type="dxa"/>
            <w:tcBorders>
              <w:top w:val="nil"/>
              <w:left w:val="nil"/>
              <w:bottom w:val="nil"/>
              <w:right w:val="nil"/>
            </w:tcBorders>
            <w:shd w:val="clear" w:color="auto" w:fill="auto"/>
            <w:vAlign w:val="center"/>
          </w:tcPr>
          <w:p w14:paraId="27E0DB33" w14:textId="19F26B3F" w:rsidR="00A454ED" w:rsidRPr="00372D3F" w:rsidRDefault="00A454ED" w:rsidP="00A454ED">
            <w:pPr>
              <w:spacing w:after="0" w:line="240" w:lineRule="auto"/>
              <w:jc w:val="center"/>
              <w:rPr>
                <w:rFonts w:asciiTheme="majorHAnsi" w:hAnsiTheme="majorHAnsi" w:cstheme="majorHAnsi"/>
                <w:sz w:val="22"/>
              </w:rPr>
            </w:pPr>
            <w:r w:rsidRPr="005A1CE1">
              <w:t>4,5</w:t>
            </w:r>
          </w:p>
        </w:tc>
        <w:tc>
          <w:tcPr>
            <w:tcW w:w="761" w:type="dxa"/>
            <w:tcBorders>
              <w:top w:val="nil"/>
              <w:left w:val="nil"/>
              <w:bottom w:val="nil"/>
              <w:right w:val="nil"/>
            </w:tcBorders>
            <w:shd w:val="clear" w:color="auto" w:fill="auto"/>
            <w:vAlign w:val="center"/>
          </w:tcPr>
          <w:p w14:paraId="78460712" w14:textId="68573E04" w:rsidR="00A454ED" w:rsidRPr="00372D3F" w:rsidRDefault="00A454ED" w:rsidP="00A454ED">
            <w:pPr>
              <w:spacing w:after="0" w:line="240" w:lineRule="auto"/>
              <w:jc w:val="center"/>
              <w:rPr>
                <w:rFonts w:asciiTheme="majorHAnsi" w:hAnsiTheme="majorHAnsi" w:cstheme="majorHAnsi"/>
                <w:sz w:val="22"/>
              </w:rPr>
            </w:pPr>
            <w:r w:rsidRPr="005A1CE1">
              <w:t>4,5</w:t>
            </w:r>
          </w:p>
        </w:tc>
        <w:tc>
          <w:tcPr>
            <w:tcW w:w="762" w:type="dxa"/>
            <w:tcBorders>
              <w:top w:val="nil"/>
              <w:left w:val="nil"/>
              <w:bottom w:val="nil"/>
              <w:right w:val="nil"/>
            </w:tcBorders>
            <w:shd w:val="clear" w:color="auto" w:fill="auto"/>
            <w:vAlign w:val="center"/>
          </w:tcPr>
          <w:p w14:paraId="318A2BAF" w14:textId="08D07BB4" w:rsidR="00A454ED" w:rsidRPr="00372D3F" w:rsidRDefault="00A454ED" w:rsidP="00A454ED">
            <w:pPr>
              <w:spacing w:after="0" w:line="240" w:lineRule="auto"/>
              <w:jc w:val="center"/>
              <w:rPr>
                <w:rFonts w:asciiTheme="majorHAnsi" w:hAnsiTheme="majorHAnsi" w:cstheme="majorHAnsi"/>
                <w:sz w:val="22"/>
              </w:rPr>
            </w:pPr>
            <w:r w:rsidRPr="005A1CE1">
              <w:t>4,5</w:t>
            </w:r>
          </w:p>
        </w:tc>
        <w:tc>
          <w:tcPr>
            <w:tcW w:w="762" w:type="dxa"/>
            <w:tcBorders>
              <w:top w:val="nil"/>
              <w:left w:val="nil"/>
              <w:bottom w:val="nil"/>
              <w:right w:val="nil"/>
            </w:tcBorders>
            <w:shd w:val="clear" w:color="auto" w:fill="auto"/>
            <w:vAlign w:val="center"/>
          </w:tcPr>
          <w:p w14:paraId="1CBAB304" w14:textId="753800FE" w:rsidR="00A454ED" w:rsidRPr="00372D3F" w:rsidRDefault="00A454ED" w:rsidP="00A454ED">
            <w:pPr>
              <w:spacing w:after="0" w:line="240" w:lineRule="auto"/>
              <w:jc w:val="center"/>
              <w:rPr>
                <w:rFonts w:asciiTheme="majorHAnsi" w:hAnsiTheme="majorHAnsi" w:cstheme="majorHAnsi"/>
                <w:sz w:val="22"/>
              </w:rPr>
            </w:pPr>
            <w:r w:rsidRPr="005A1CE1">
              <w:t>4,5</w:t>
            </w:r>
          </w:p>
        </w:tc>
        <w:tc>
          <w:tcPr>
            <w:tcW w:w="762" w:type="dxa"/>
            <w:tcBorders>
              <w:top w:val="nil"/>
              <w:left w:val="nil"/>
              <w:bottom w:val="nil"/>
              <w:right w:val="nil"/>
            </w:tcBorders>
            <w:shd w:val="clear" w:color="auto" w:fill="auto"/>
            <w:vAlign w:val="center"/>
          </w:tcPr>
          <w:p w14:paraId="41725D25" w14:textId="71E16B9E" w:rsidR="00A454ED" w:rsidRPr="00372D3F" w:rsidRDefault="00A454ED" w:rsidP="00A454ED">
            <w:pPr>
              <w:spacing w:after="0" w:line="240" w:lineRule="auto"/>
              <w:jc w:val="center"/>
              <w:rPr>
                <w:rFonts w:asciiTheme="majorHAnsi" w:hAnsiTheme="majorHAnsi" w:cstheme="majorHAnsi"/>
                <w:sz w:val="22"/>
              </w:rPr>
            </w:pPr>
            <w:r w:rsidRPr="005A1CE1">
              <w:t>4,5</w:t>
            </w:r>
          </w:p>
        </w:tc>
        <w:tc>
          <w:tcPr>
            <w:tcW w:w="761" w:type="dxa"/>
            <w:tcBorders>
              <w:top w:val="nil"/>
              <w:left w:val="nil"/>
              <w:bottom w:val="nil"/>
              <w:right w:val="nil"/>
            </w:tcBorders>
            <w:shd w:val="clear" w:color="auto" w:fill="auto"/>
            <w:vAlign w:val="center"/>
          </w:tcPr>
          <w:p w14:paraId="5B6C3339" w14:textId="110490FC" w:rsidR="00A454ED" w:rsidRPr="00372D3F" w:rsidRDefault="00A454ED" w:rsidP="00A454ED">
            <w:pPr>
              <w:spacing w:after="0" w:line="240" w:lineRule="auto"/>
              <w:jc w:val="center"/>
              <w:rPr>
                <w:rFonts w:asciiTheme="majorHAnsi" w:hAnsiTheme="majorHAnsi" w:cstheme="majorHAnsi"/>
                <w:sz w:val="22"/>
              </w:rPr>
            </w:pPr>
            <w:r w:rsidRPr="005A1CE1">
              <w:t>4,5</w:t>
            </w:r>
          </w:p>
        </w:tc>
        <w:tc>
          <w:tcPr>
            <w:tcW w:w="761" w:type="dxa"/>
            <w:tcBorders>
              <w:top w:val="nil"/>
              <w:left w:val="nil"/>
              <w:bottom w:val="nil"/>
              <w:right w:val="nil"/>
            </w:tcBorders>
            <w:shd w:val="clear" w:color="auto" w:fill="auto"/>
            <w:vAlign w:val="center"/>
          </w:tcPr>
          <w:p w14:paraId="60F6094A" w14:textId="2354157A" w:rsidR="00A454ED" w:rsidRPr="00372D3F" w:rsidRDefault="00A454ED" w:rsidP="00A454ED">
            <w:pPr>
              <w:spacing w:after="0" w:line="240" w:lineRule="auto"/>
              <w:jc w:val="center"/>
              <w:rPr>
                <w:rFonts w:asciiTheme="majorHAnsi" w:hAnsiTheme="majorHAnsi" w:cstheme="majorHAnsi"/>
                <w:sz w:val="22"/>
              </w:rPr>
            </w:pPr>
            <w:r w:rsidRPr="005A1CE1">
              <w:t>4,5</w:t>
            </w:r>
          </w:p>
        </w:tc>
        <w:tc>
          <w:tcPr>
            <w:tcW w:w="761" w:type="dxa"/>
            <w:tcBorders>
              <w:top w:val="nil"/>
              <w:left w:val="nil"/>
              <w:bottom w:val="nil"/>
              <w:right w:val="nil"/>
            </w:tcBorders>
            <w:shd w:val="clear" w:color="auto" w:fill="auto"/>
            <w:vAlign w:val="center"/>
          </w:tcPr>
          <w:p w14:paraId="59CF5830" w14:textId="0CDA7144" w:rsidR="00A454ED" w:rsidRPr="00372D3F" w:rsidRDefault="00A454ED" w:rsidP="00A454ED">
            <w:pPr>
              <w:spacing w:after="0" w:line="240" w:lineRule="auto"/>
              <w:jc w:val="center"/>
              <w:rPr>
                <w:rFonts w:asciiTheme="majorHAnsi" w:hAnsiTheme="majorHAnsi" w:cstheme="majorHAnsi"/>
                <w:sz w:val="22"/>
              </w:rPr>
            </w:pPr>
            <w:r w:rsidRPr="005A1CE1">
              <w:t>4,5</w:t>
            </w:r>
          </w:p>
        </w:tc>
        <w:tc>
          <w:tcPr>
            <w:tcW w:w="761" w:type="dxa"/>
            <w:tcBorders>
              <w:top w:val="nil"/>
              <w:left w:val="nil"/>
              <w:bottom w:val="nil"/>
              <w:right w:val="nil"/>
            </w:tcBorders>
            <w:shd w:val="clear" w:color="auto" w:fill="auto"/>
            <w:vAlign w:val="center"/>
          </w:tcPr>
          <w:p w14:paraId="02771065" w14:textId="021B5B2F" w:rsidR="00A454ED" w:rsidRPr="00372D3F" w:rsidRDefault="00A454ED" w:rsidP="00A454ED">
            <w:pPr>
              <w:spacing w:after="0" w:line="240" w:lineRule="auto"/>
              <w:jc w:val="center"/>
              <w:rPr>
                <w:rFonts w:asciiTheme="majorHAnsi" w:hAnsiTheme="majorHAnsi" w:cstheme="majorHAnsi"/>
                <w:sz w:val="22"/>
              </w:rPr>
            </w:pPr>
            <w:r w:rsidRPr="005A1CE1">
              <w:t>4,5</w:t>
            </w:r>
          </w:p>
        </w:tc>
        <w:tc>
          <w:tcPr>
            <w:tcW w:w="761" w:type="dxa"/>
            <w:tcBorders>
              <w:top w:val="nil"/>
              <w:left w:val="nil"/>
              <w:bottom w:val="nil"/>
              <w:right w:val="nil"/>
            </w:tcBorders>
            <w:shd w:val="clear" w:color="auto" w:fill="auto"/>
            <w:vAlign w:val="center"/>
          </w:tcPr>
          <w:p w14:paraId="2CBC95D6" w14:textId="1CC13C32" w:rsidR="00A454ED" w:rsidRPr="00372D3F" w:rsidRDefault="00A454ED" w:rsidP="00A454ED">
            <w:pPr>
              <w:spacing w:after="0" w:line="240" w:lineRule="auto"/>
              <w:jc w:val="center"/>
              <w:rPr>
                <w:rFonts w:asciiTheme="majorHAnsi" w:hAnsiTheme="majorHAnsi" w:cstheme="majorHAnsi"/>
                <w:sz w:val="22"/>
              </w:rPr>
            </w:pPr>
            <w:r w:rsidRPr="005A1CE1">
              <w:t>4,5</w:t>
            </w:r>
          </w:p>
        </w:tc>
        <w:tc>
          <w:tcPr>
            <w:tcW w:w="761" w:type="dxa"/>
            <w:tcBorders>
              <w:top w:val="nil"/>
              <w:left w:val="nil"/>
              <w:bottom w:val="nil"/>
              <w:right w:val="nil"/>
            </w:tcBorders>
            <w:shd w:val="clear" w:color="auto" w:fill="auto"/>
            <w:vAlign w:val="center"/>
          </w:tcPr>
          <w:p w14:paraId="59CCED7D" w14:textId="727D45F8" w:rsidR="00A454ED" w:rsidRPr="00372D3F" w:rsidRDefault="00A454ED" w:rsidP="00A454ED">
            <w:pPr>
              <w:spacing w:after="0" w:line="240" w:lineRule="auto"/>
              <w:jc w:val="center"/>
              <w:rPr>
                <w:rFonts w:asciiTheme="majorHAnsi" w:hAnsiTheme="majorHAnsi" w:cstheme="majorHAnsi"/>
                <w:sz w:val="22"/>
              </w:rPr>
            </w:pPr>
            <w:r w:rsidRPr="005A1CE1">
              <w:t>4,5</w:t>
            </w:r>
          </w:p>
        </w:tc>
        <w:tc>
          <w:tcPr>
            <w:tcW w:w="761" w:type="dxa"/>
            <w:tcBorders>
              <w:top w:val="nil"/>
              <w:left w:val="nil"/>
              <w:bottom w:val="nil"/>
              <w:right w:val="nil"/>
            </w:tcBorders>
            <w:shd w:val="clear" w:color="auto" w:fill="auto"/>
            <w:vAlign w:val="center"/>
          </w:tcPr>
          <w:p w14:paraId="25BFAE7A" w14:textId="4A805CDB" w:rsidR="00A454ED" w:rsidRPr="00372D3F" w:rsidRDefault="00A454ED" w:rsidP="00A454ED">
            <w:pPr>
              <w:spacing w:after="0" w:line="240" w:lineRule="auto"/>
              <w:jc w:val="center"/>
              <w:rPr>
                <w:rFonts w:asciiTheme="majorHAnsi" w:hAnsiTheme="majorHAnsi" w:cstheme="majorHAnsi"/>
                <w:sz w:val="22"/>
              </w:rPr>
            </w:pPr>
            <w:r w:rsidRPr="005A1CE1">
              <w:t>4,5</w:t>
            </w:r>
          </w:p>
        </w:tc>
      </w:tr>
      <w:tr w:rsidR="00A454ED" w:rsidRPr="007D5465" w14:paraId="64321C92" w14:textId="77777777" w:rsidTr="00A454ED">
        <w:trPr>
          <w:gridAfter w:val="1"/>
          <w:wAfter w:w="2122" w:type="dxa"/>
          <w:trHeight w:val="806"/>
        </w:trPr>
        <w:tc>
          <w:tcPr>
            <w:tcW w:w="4251" w:type="dxa"/>
            <w:tcBorders>
              <w:top w:val="single" w:sz="4" w:space="0" w:color="auto"/>
              <w:bottom w:val="single" w:sz="4" w:space="0" w:color="auto"/>
              <w:right w:val="single" w:sz="4" w:space="0" w:color="auto"/>
            </w:tcBorders>
            <w:vAlign w:val="center"/>
          </w:tcPr>
          <w:p w14:paraId="098CDACD" w14:textId="77777777" w:rsidR="00A454ED" w:rsidRPr="00A8737D" w:rsidRDefault="00A454ED" w:rsidP="00A454ED">
            <w:pPr>
              <w:tabs>
                <w:tab w:val="left" w:pos="1169"/>
              </w:tabs>
              <w:spacing w:after="0" w:line="240" w:lineRule="auto"/>
              <w:jc w:val="left"/>
              <w:rPr>
                <w:sz w:val="22"/>
              </w:rPr>
            </w:pPr>
            <w:r w:rsidRPr="00A8737D">
              <w:rPr>
                <w:sz w:val="22"/>
              </w:rPr>
              <w:t>Priorytet 2b</w:t>
            </w:r>
            <w:r w:rsidRPr="00A8737D">
              <w:rPr>
                <w:sz w:val="22"/>
              </w:rPr>
              <w:br/>
            </w:r>
            <w:r w:rsidRPr="00A8737D">
              <w:rPr>
                <w:rFonts w:eastAsia="Calibri"/>
                <w:sz w:val="22"/>
                <w:lang w:eastAsia="pl-PL"/>
              </w:rPr>
              <w:t>Dofinansowanie początkowych kapitałów żelaznych</w:t>
            </w:r>
          </w:p>
        </w:tc>
        <w:tc>
          <w:tcPr>
            <w:tcW w:w="761" w:type="dxa"/>
            <w:tcBorders>
              <w:top w:val="nil"/>
              <w:left w:val="single" w:sz="4" w:space="0" w:color="auto"/>
              <w:bottom w:val="nil"/>
              <w:right w:val="nil"/>
            </w:tcBorders>
            <w:shd w:val="clear" w:color="auto" w:fill="auto"/>
            <w:vAlign w:val="center"/>
          </w:tcPr>
          <w:p w14:paraId="7BB29375" w14:textId="287059BD" w:rsidR="00A454ED" w:rsidRPr="00372D3F" w:rsidRDefault="00A454ED" w:rsidP="00A454ED">
            <w:pPr>
              <w:spacing w:after="0" w:line="240" w:lineRule="auto"/>
              <w:jc w:val="center"/>
              <w:rPr>
                <w:rFonts w:asciiTheme="majorHAnsi" w:hAnsiTheme="majorHAnsi" w:cstheme="majorHAnsi"/>
                <w:sz w:val="22"/>
              </w:rPr>
            </w:pPr>
            <w:r w:rsidRPr="005A1CE1">
              <w:t>0</w:t>
            </w:r>
          </w:p>
        </w:tc>
        <w:tc>
          <w:tcPr>
            <w:tcW w:w="761" w:type="dxa"/>
            <w:tcBorders>
              <w:top w:val="nil"/>
              <w:left w:val="nil"/>
              <w:bottom w:val="nil"/>
              <w:right w:val="nil"/>
            </w:tcBorders>
            <w:shd w:val="clear" w:color="auto" w:fill="auto"/>
            <w:vAlign w:val="center"/>
          </w:tcPr>
          <w:p w14:paraId="0CCFD70F" w14:textId="2A9CAA4F" w:rsidR="00A454ED" w:rsidRPr="00372D3F" w:rsidRDefault="00A454ED" w:rsidP="00A454ED">
            <w:pPr>
              <w:spacing w:after="0" w:line="240" w:lineRule="auto"/>
              <w:jc w:val="center"/>
              <w:rPr>
                <w:rFonts w:asciiTheme="majorHAnsi" w:hAnsiTheme="majorHAnsi" w:cstheme="majorHAnsi"/>
                <w:sz w:val="22"/>
              </w:rPr>
            </w:pPr>
            <w:r w:rsidRPr="005A1CE1">
              <w:t>0</w:t>
            </w:r>
          </w:p>
        </w:tc>
        <w:tc>
          <w:tcPr>
            <w:tcW w:w="761" w:type="dxa"/>
            <w:tcBorders>
              <w:top w:val="nil"/>
              <w:left w:val="nil"/>
              <w:bottom w:val="nil"/>
              <w:right w:val="nil"/>
            </w:tcBorders>
            <w:shd w:val="clear" w:color="auto" w:fill="auto"/>
            <w:vAlign w:val="center"/>
          </w:tcPr>
          <w:p w14:paraId="1C7A0F20" w14:textId="0EC04C35" w:rsidR="00A454ED" w:rsidRPr="00372D3F" w:rsidRDefault="00A454ED" w:rsidP="00A454ED">
            <w:pPr>
              <w:spacing w:after="0" w:line="240" w:lineRule="auto"/>
              <w:jc w:val="center"/>
              <w:rPr>
                <w:rFonts w:asciiTheme="majorHAnsi" w:hAnsiTheme="majorHAnsi" w:cstheme="majorHAnsi"/>
                <w:sz w:val="22"/>
              </w:rPr>
            </w:pPr>
            <w:r w:rsidRPr="005A1CE1">
              <w:t>0</w:t>
            </w:r>
          </w:p>
        </w:tc>
        <w:tc>
          <w:tcPr>
            <w:tcW w:w="762" w:type="dxa"/>
            <w:tcBorders>
              <w:top w:val="nil"/>
              <w:left w:val="nil"/>
              <w:bottom w:val="nil"/>
              <w:right w:val="nil"/>
            </w:tcBorders>
            <w:shd w:val="clear" w:color="auto" w:fill="auto"/>
            <w:vAlign w:val="center"/>
          </w:tcPr>
          <w:p w14:paraId="11A30CB4" w14:textId="4653F25C" w:rsidR="00A454ED" w:rsidRPr="00372D3F" w:rsidRDefault="00A454ED" w:rsidP="00A454ED">
            <w:pPr>
              <w:spacing w:after="0" w:line="240" w:lineRule="auto"/>
              <w:jc w:val="center"/>
              <w:rPr>
                <w:rFonts w:asciiTheme="majorHAnsi" w:hAnsiTheme="majorHAnsi" w:cstheme="majorHAnsi"/>
                <w:sz w:val="22"/>
              </w:rPr>
            </w:pPr>
            <w:r w:rsidRPr="005A1CE1">
              <w:t>2,25</w:t>
            </w:r>
          </w:p>
        </w:tc>
        <w:tc>
          <w:tcPr>
            <w:tcW w:w="762" w:type="dxa"/>
            <w:tcBorders>
              <w:top w:val="nil"/>
              <w:left w:val="nil"/>
              <w:bottom w:val="nil"/>
              <w:right w:val="nil"/>
            </w:tcBorders>
            <w:shd w:val="clear" w:color="auto" w:fill="auto"/>
            <w:vAlign w:val="center"/>
          </w:tcPr>
          <w:p w14:paraId="372B1335" w14:textId="27D3E8A7" w:rsidR="00A454ED" w:rsidRPr="00372D3F" w:rsidRDefault="00A454ED" w:rsidP="00A454ED">
            <w:pPr>
              <w:spacing w:after="0" w:line="240" w:lineRule="auto"/>
              <w:jc w:val="center"/>
              <w:rPr>
                <w:rFonts w:asciiTheme="majorHAnsi" w:hAnsiTheme="majorHAnsi" w:cstheme="majorHAnsi"/>
                <w:sz w:val="22"/>
              </w:rPr>
            </w:pPr>
            <w:r w:rsidRPr="005A1CE1">
              <w:t>2,25</w:t>
            </w:r>
          </w:p>
        </w:tc>
        <w:tc>
          <w:tcPr>
            <w:tcW w:w="762" w:type="dxa"/>
            <w:tcBorders>
              <w:top w:val="nil"/>
              <w:left w:val="nil"/>
              <w:bottom w:val="nil"/>
              <w:right w:val="nil"/>
            </w:tcBorders>
            <w:shd w:val="clear" w:color="auto" w:fill="auto"/>
            <w:vAlign w:val="center"/>
          </w:tcPr>
          <w:p w14:paraId="0A8CAC7A" w14:textId="668F779D" w:rsidR="00A454ED" w:rsidRPr="00372D3F" w:rsidRDefault="00A454ED" w:rsidP="00A454ED">
            <w:pPr>
              <w:spacing w:after="0" w:line="240" w:lineRule="auto"/>
              <w:jc w:val="center"/>
              <w:rPr>
                <w:rFonts w:asciiTheme="majorHAnsi" w:hAnsiTheme="majorHAnsi" w:cstheme="majorHAnsi"/>
                <w:sz w:val="22"/>
              </w:rPr>
            </w:pPr>
            <w:r w:rsidRPr="005A1CE1">
              <w:t>2,25</w:t>
            </w:r>
          </w:p>
        </w:tc>
        <w:tc>
          <w:tcPr>
            <w:tcW w:w="761" w:type="dxa"/>
            <w:tcBorders>
              <w:top w:val="nil"/>
              <w:left w:val="nil"/>
              <w:bottom w:val="nil"/>
              <w:right w:val="nil"/>
            </w:tcBorders>
            <w:shd w:val="clear" w:color="auto" w:fill="auto"/>
            <w:vAlign w:val="center"/>
          </w:tcPr>
          <w:p w14:paraId="51C17E17" w14:textId="198C01E2" w:rsidR="00A454ED" w:rsidRPr="00372D3F" w:rsidRDefault="00A454ED" w:rsidP="00A454ED">
            <w:pPr>
              <w:spacing w:after="0" w:line="240" w:lineRule="auto"/>
              <w:jc w:val="center"/>
              <w:rPr>
                <w:rFonts w:asciiTheme="majorHAnsi" w:hAnsiTheme="majorHAnsi" w:cstheme="majorHAnsi"/>
                <w:sz w:val="22"/>
              </w:rPr>
            </w:pPr>
            <w:r w:rsidRPr="005A1CE1">
              <w:t>2,25</w:t>
            </w:r>
          </w:p>
        </w:tc>
        <w:tc>
          <w:tcPr>
            <w:tcW w:w="761" w:type="dxa"/>
            <w:tcBorders>
              <w:top w:val="nil"/>
              <w:left w:val="nil"/>
              <w:bottom w:val="nil"/>
              <w:right w:val="nil"/>
            </w:tcBorders>
            <w:shd w:val="clear" w:color="auto" w:fill="auto"/>
            <w:vAlign w:val="center"/>
          </w:tcPr>
          <w:p w14:paraId="070F13EC" w14:textId="12767053" w:rsidR="00A454ED" w:rsidRPr="00372D3F" w:rsidRDefault="00A454ED" w:rsidP="00A454ED">
            <w:pPr>
              <w:spacing w:after="0" w:line="240" w:lineRule="auto"/>
              <w:jc w:val="center"/>
              <w:rPr>
                <w:rFonts w:asciiTheme="majorHAnsi" w:hAnsiTheme="majorHAnsi" w:cstheme="majorHAnsi"/>
                <w:sz w:val="22"/>
              </w:rPr>
            </w:pPr>
            <w:r w:rsidRPr="005A1CE1">
              <w:t>3,15</w:t>
            </w:r>
          </w:p>
        </w:tc>
        <w:tc>
          <w:tcPr>
            <w:tcW w:w="761" w:type="dxa"/>
            <w:tcBorders>
              <w:top w:val="nil"/>
              <w:left w:val="nil"/>
              <w:bottom w:val="nil"/>
              <w:right w:val="nil"/>
            </w:tcBorders>
            <w:shd w:val="clear" w:color="auto" w:fill="auto"/>
            <w:vAlign w:val="center"/>
          </w:tcPr>
          <w:p w14:paraId="687BF6DC" w14:textId="2F0F6EB0" w:rsidR="00A454ED" w:rsidRPr="00372D3F" w:rsidRDefault="00A454ED" w:rsidP="00A454ED">
            <w:pPr>
              <w:spacing w:after="0" w:line="240" w:lineRule="auto"/>
              <w:jc w:val="center"/>
              <w:rPr>
                <w:rFonts w:asciiTheme="majorHAnsi" w:hAnsiTheme="majorHAnsi" w:cstheme="majorHAnsi"/>
                <w:sz w:val="22"/>
              </w:rPr>
            </w:pPr>
            <w:r w:rsidRPr="005A1CE1">
              <w:t>3,15</w:t>
            </w:r>
          </w:p>
        </w:tc>
        <w:tc>
          <w:tcPr>
            <w:tcW w:w="761" w:type="dxa"/>
            <w:tcBorders>
              <w:top w:val="nil"/>
              <w:left w:val="nil"/>
              <w:bottom w:val="nil"/>
              <w:right w:val="nil"/>
            </w:tcBorders>
            <w:shd w:val="clear" w:color="auto" w:fill="auto"/>
            <w:vAlign w:val="center"/>
          </w:tcPr>
          <w:p w14:paraId="76BA439D" w14:textId="301A862C" w:rsidR="00A454ED" w:rsidRPr="00372D3F" w:rsidRDefault="00A454ED" w:rsidP="00A454ED">
            <w:pPr>
              <w:spacing w:after="0" w:line="240" w:lineRule="auto"/>
              <w:jc w:val="center"/>
              <w:rPr>
                <w:rFonts w:asciiTheme="majorHAnsi" w:hAnsiTheme="majorHAnsi" w:cstheme="majorHAnsi"/>
                <w:sz w:val="22"/>
              </w:rPr>
            </w:pPr>
            <w:r w:rsidRPr="005A1CE1">
              <w:t>3,15</w:t>
            </w:r>
          </w:p>
        </w:tc>
        <w:tc>
          <w:tcPr>
            <w:tcW w:w="761" w:type="dxa"/>
            <w:tcBorders>
              <w:top w:val="nil"/>
              <w:left w:val="nil"/>
              <w:bottom w:val="nil"/>
              <w:right w:val="nil"/>
            </w:tcBorders>
            <w:shd w:val="clear" w:color="auto" w:fill="auto"/>
            <w:vAlign w:val="center"/>
          </w:tcPr>
          <w:p w14:paraId="62C0DB3D" w14:textId="2329285A" w:rsidR="00A454ED" w:rsidRPr="00372D3F" w:rsidRDefault="00A454ED" w:rsidP="00A454ED">
            <w:pPr>
              <w:spacing w:after="0" w:line="240" w:lineRule="auto"/>
              <w:jc w:val="center"/>
              <w:rPr>
                <w:rFonts w:asciiTheme="majorHAnsi" w:hAnsiTheme="majorHAnsi" w:cstheme="majorHAnsi"/>
                <w:sz w:val="22"/>
              </w:rPr>
            </w:pPr>
            <w:r w:rsidRPr="005A1CE1">
              <w:t>3,15</w:t>
            </w:r>
          </w:p>
        </w:tc>
        <w:tc>
          <w:tcPr>
            <w:tcW w:w="761" w:type="dxa"/>
            <w:tcBorders>
              <w:top w:val="nil"/>
              <w:left w:val="nil"/>
              <w:bottom w:val="nil"/>
              <w:right w:val="nil"/>
            </w:tcBorders>
            <w:shd w:val="clear" w:color="auto" w:fill="auto"/>
            <w:vAlign w:val="center"/>
          </w:tcPr>
          <w:p w14:paraId="1BA7A115" w14:textId="2CBD3F97" w:rsidR="00A454ED" w:rsidRPr="00372D3F" w:rsidRDefault="00A454ED" w:rsidP="00A454ED">
            <w:pPr>
              <w:spacing w:after="0" w:line="240" w:lineRule="auto"/>
              <w:jc w:val="center"/>
              <w:rPr>
                <w:rFonts w:asciiTheme="majorHAnsi" w:hAnsiTheme="majorHAnsi" w:cstheme="majorHAnsi"/>
                <w:sz w:val="22"/>
              </w:rPr>
            </w:pPr>
            <w:r w:rsidRPr="005A1CE1">
              <w:t>3,15</w:t>
            </w:r>
          </w:p>
        </w:tc>
        <w:tc>
          <w:tcPr>
            <w:tcW w:w="761" w:type="dxa"/>
            <w:tcBorders>
              <w:top w:val="nil"/>
              <w:left w:val="nil"/>
              <w:bottom w:val="nil"/>
              <w:right w:val="nil"/>
            </w:tcBorders>
            <w:shd w:val="clear" w:color="auto" w:fill="auto"/>
            <w:vAlign w:val="center"/>
          </w:tcPr>
          <w:p w14:paraId="08DB6804" w14:textId="1012F773" w:rsidR="00A454ED" w:rsidRPr="00372D3F" w:rsidRDefault="00A454ED" w:rsidP="00A454ED">
            <w:pPr>
              <w:spacing w:after="0" w:line="240" w:lineRule="auto"/>
              <w:jc w:val="center"/>
              <w:rPr>
                <w:rFonts w:asciiTheme="majorHAnsi" w:hAnsiTheme="majorHAnsi" w:cstheme="majorHAnsi"/>
                <w:sz w:val="22"/>
              </w:rPr>
            </w:pPr>
            <w:r w:rsidRPr="005A1CE1">
              <w:t>3,15</w:t>
            </w:r>
          </w:p>
        </w:tc>
      </w:tr>
      <w:tr w:rsidR="00A454ED" w:rsidRPr="007D5465" w14:paraId="3610605C" w14:textId="77777777" w:rsidTr="00A454ED">
        <w:trPr>
          <w:gridAfter w:val="1"/>
          <w:wAfter w:w="2122" w:type="dxa"/>
          <w:trHeight w:val="806"/>
        </w:trPr>
        <w:tc>
          <w:tcPr>
            <w:tcW w:w="4251" w:type="dxa"/>
            <w:tcBorders>
              <w:top w:val="single" w:sz="4" w:space="0" w:color="auto"/>
              <w:bottom w:val="single" w:sz="4" w:space="0" w:color="auto"/>
              <w:right w:val="single" w:sz="4" w:space="0" w:color="auto"/>
            </w:tcBorders>
            <w:vAlign w:val="center"/>
          </w:tcPr>
          <w:p w14:paraId="717EF2F0" w14:textId="77777777" w:rsidR="00A454ED" w:rsidRPr="00A8737D" w:rsidRDefault="00A454ED" w:rsidP="00A454ED">
            <w:pPr>
              <w:tabs>
                <w:tab w:val="left" w:pos="1169"/>
              </w:tabs>
              <w:spacing w:after="0" w:line="240" w:lineRule="auto"/>
              <w:jc w:val="left"/>
              <w:rPr>
                <w:sz w:val="22"/>
              </w:rPr>
            </w:pPr>
            <w:r w:rsidRPr="00A8737D">
              <w:rPr>
                <w:sz w:val="22"/>
              </w:rPr>
              <w:t>Priorytet 2c</w:t>
            </w:r>
            <w:r w:rsidRPr="00A8737D">
              <w:rPr>
                <w:sz w:val="22"/>
              </w:rPr>
              <w:tab/>
            </w:r>
            <w:r w:rsidRPr="00A8737D">
              <w:rPr>
                <w:sz w:val="22"/>
              </w:rPr>
              <w:br/>
            </w:r>
            <w:r w:rsidRPr="00A8737D">
              <w:rPr>
                <w:rFonts w:eastAsia="Calibri"/>
                <w:sz w:val="22"/>
                <w:lang w:eastAsia="pl-PL"/>
              </w:rPr>
              <w:t>Dofinansowanie rozbudowy kapitałów żelaznych</w:t>
            </w:r>
          </w:p>
        </w:tc>
        <w:tc>
          <w:tcPr>
            <w:tcW w:w="761" w:type="dxa"/>
            <w:tcBorders>
              <w:top w:val="nil"/>
              <w:left w:val="single" w:sz="4" w:space="0" w:color="auto"/>
              <w:bottom w:val="nil"/>
              <w:right w:val="nil"/>
            </w:tcBorders>
            <w:shd w:val="clear" w:color="auto" w:fill="auto"/>
            <w:vAlign w:val="center"/>
          </w:tcPr>
          <w:p w14:paraId="2E3AE297" w14:textId="4E6A5463" w:rsidR="00A454ED" w:rsidRPr="00372D3F" w:rsidRDefault="00A454ED" w:rsidP="00A454ED">
            <w:pPr>
              <w:spacing w:after="0" w:line="240" w:lineRule="auto"/>
              <w:jc w:val="center"/>
              <w:rPr>
                <w:rFonts w:asciiTheme="majorHAnsi" w:hAnsiTheme="majorHAnsi" w:cstheme="majorHAnsi"/>
                <w:sz w:val="22"/>
              </w:rPr>
            </w:pPr>
            <w:r w:rsidRPr="005A1CE1">
              <w:t>0</w:t>
            </w:r>
          </w:p>
        </w:tc>
        <w:tc>
          <w:tcPr>
            <w:tcW w:w="761" w:type="dxa"/>
            <w:tcBorders>
              <w:top w:val="nil"/>
              <w:left w:val="nil"/>
              <w:bottom w:val="nil"/>
              <w:right w:val="nil"/>
            </w:tcBorders>
            <w:shd w:val="clear" w:color="auto" w:fill="auto"/>
            <w:vAlign w:val="center"/>
          </w:tcPr>
          <w:p w14:paraId="24138902" w14:textId="50F5D201" w:rsidR="00A454ED" w:rsidRPr="00372D3F" w:rsidRDefault="00A454ED" w:rsidP="00A454ED">
            <w:pPr>
              <w:spacing w:after="0" w:line="240" w:lineRule="auto"/>
              <w:jc w:val="center"/>
              <w:rPr>
                <w:rFonts w:asciiTheme="majorHAnsi" w:hAnsiTheme="majorHAnsi" w:cstheme="majorHAnsi"/>
                <w:sz w:val="22"/>
              </w:rPr>
            </w:pPr>
            <w:r w:rsidRPr="005A1CE1">
              <w:t>0</w:t>
            </w:r>
          </w:p>
        </w:tc>
        <w:tc>
          <w:tcPr>
            <w:tcW w:w="761" w:type="dxa"/>
            <w:tcBorders>
              <w:top w:val="nil"/>
              <w:left w:val="nil"/>
              <w:bottom w:val="nil"/>
              <w:right w:val="nil"/>
            </w:tcBorders>
            <w:shd w:val="clear" w:color="auto" w:fill="auto"/>
            <w:vAlign w:val="center"/>
          </w:tcPr>
          <w:p w14:paraId="1C7BD683" w14:textId="16E8096E" w:rsidR="00A454ED" w:rsidRPr="00372D3F" w:rsidRDefault="00A454ED" w:rsidP="00A454ED">
            <w:pPr>
              <w:spacing w:after="0" w:line="240" w:lineRule="auto"/>
              <w:jc w:val="center"/>
              <w:rPr>
                <w:rFonts w:asciiTheme="majorHAnsi" w:hAnsiTheme="majorHAnsi" w:cstheme="majorHAnsi"/>
                <w:sz w:val="22"/>
              </w:rPr>
            </w:pPr>
            <w:r w:rsidRPr="005A1CE1">
              <w:t>0</w:t>
            </w:r>
          </w:p>
        </w:tc>
        <w:tc>
          <w:tcPr>
            <w:tcW w:w="762" w:type="dxa"/>
            <w:tcBorders>
              <w:top w:val="nil"/>
              <w:left w:val="nil"/>
              <w:bottom w:val="nil"/>
              <w:right w:val="nil"/>
            </w:tcBorders>
            <w:shd w:val="clear" w:color="auto" w:fill="auto"/>
            <w:vAlign w:val="center"/>
          </w:tcPr>
          <w:p w14:paraId="55E12FB0" w14:textId="4B970916" w:rsidR="00A454ED" w:rsidRPr="00372D3F" w:rsidRDefault="00A454ED" w:rsidP="00A454ED">
            <w:pPr>
              <w:spacing w:after="0" w:line="240" w:lineRule="auto"/>
              <w:jc w:val="center"/>
              <w:rPr>
                <w:rFonts w:asciiTheme="majorHAnsi" w:hAnsiTheme="majorHAnsi" w:cstheme="majorHAnsi"/>
                <w:sz w:val="22"/>
              </w:rPr>
            </w:pPr>
            <w:r w:rsidRPr="005A1CE1">
              <w:t>0</w:t>
            </w:r>
          </w:p>
        </w:tc>
        <w:tc>
          <w:tcPr>
            <w:tcW w:w="762" w:type="dxa"/>
            <w:tcBorders>
              <w:top w:val="nil"/>
              <w:left w:val="nil"/>
              <w:bottom w:val="nil"/>
              <w:right w:val="nil"/>
            </w:tcBorders>
            <w:shd w:val="clear" w:color="auto" w:fill="auto"/>
            <w:vAlign w:val="center"/>
          </w:tcPr>
          <w:p w14:paraId="3AEF5372" w14:textId="662DF149" w:rsidR="00A454ED" w:rsidRPr="00372D3F" w:rsidRDefault="00A454ED" w:rsidP="00A454ED">
            <w:pPr>
              <w:spacing w:after="0" w:line="240" w:lineRule="auto"/>
              <w:jc w:val="center"/>
              <w:rPr>
                <w:rFonts w:asciiTheme="majorHAnsi" w:hAnsiTheme="majorHAnsi" w:cstheme="majorHAnsi"/>
                <w:sz w:val="22"/>
              </w:rPr>
            </w:pPr>
            <w:r w:rsidRPr="005A1CE1">
              <w:t>0</w:t>
            </w:r>
          </w:p>
        </w:tc>
        <w:tc>
          <w:tcPr>
            <w:tcW w:w="762" w:type="dxa"/>
            <w:tcBorders>
              <w:top w:val="nil"/>
              <w:left w:val="nil"/>
              <w:bottom w:val="nil"/>
              <w:right w:val="nil"/>
            </w:tcBorders>
            <w:shd w:val="clear" w:color="auto" w:fill="auto"/>
            <w:vAlign w:val="center"/>
          </w:tcPr>
          <w:p w14:paraId="0A611475" w14:textId="6F836D0A" w:rsidR="00A454ED" w:rsidRPr="00372D3F" w:rsidRDefault="00A454ED" w:rsidP="00A454ED">
            <w:pPr>
              <w:spacing w:after="0" w:line="240" w:lineRule="auto"/>
              <w:jc w:val="center"/>
              <w:rPr>
                <w:rFonts w:asciiTheme="majorHAnsi" w:hAnsiTheme="majorHAnsi" w:cstheme="majorHAnsi"/>
                <w:sz w:val="22"/>
              </w:rPr>
            </w:pPr>
            <w:r w:rsidRPr="005A1CE1">
              <w:t>0</w:t>
            </w:r>
          </w:p>
        </w:tc>
        <w:tc>
          <w:tcPr>
            <w:tcW w:w="761" w:type="dxa"/>
            <w:tcBorders>
              <w:top w:val="nil"/>
              <w:left w:val="nil"/>
              <w:bottom w:val="nil"/>
              <w:right w:val="nil"/>
            </w:tcBorders>
            <w:shd w:val="clear" w:color="auto" w:fill="auto"/>
            <w:vAlign w:val="center"/>
          </w:tcPr>
          <w:p w14:paraId="495A9064" w14:textId="7BE6BEAA" w:rsidR="00A454ED" w:rsidRPr="00372D3F" w:rsidRDefault="00A454ED" w:rsidP="00A454ED">
            <w:pPr>
              <w:spacing w:after="0" w:line="240" w:lineRule="auto"/>
              <w:jc w:val="center"/>
              <w:rPr>
                <w:rFonts w:asciiTheme="majorHAnsi" w:hAnsiTheme="majorHAnsi" w:cstheme="majorHAnsi"/>
                <w:sz w:val="22"/>
              </w:rPr>
            </w:pPr>
            <w:r w:rsidRPr="005A1CE1">
              <w:t>3,15</w:t>
            </w:r>
          </w:p>
        </w:tc>
        <w:tc>
          <w:tcPr>
            <w:tcW w:w="761" w:type="dxa"/>
            <w:tcBorders>
              <w:top w:val="nil"/>
              <w:left w:val="nil"/>
              <w:bottom w:val="nil"/>
              <w:right w:val="nil"/>
            </w:tcBorders>
            <w:shd w:val="clear" w:color="auto" w:fill="auto"/>
            <w:vAlign w:val="center"/>
          </w:tcPr>
          <w:p w14:paraId="32621589" w14:textId="0F0F1AAC" w:rsidR="00A454ED" w:rsidRPr="00372D3F" w:rsidRDefault="00A454ED" w:rsidP="00A454ED">
            <w:pPr>
              <w:spacing w:after="0" w:line="240" w:lineRule="auto"/>
              <w:jc w:val="center"/>
              <w:rPr>
                <w:rFonts w:asciiTheme="majorHAnsi" w:hAnsiTheme="majorHAnsi" w:cstheme="majorHAnsi"/>
                <w:sz w:val="22"/>
              </w:rPr>
            </w:pPr>
            <w:r w:rsidRPr="005A1CE1">
              <w:t>3,15</w:t>
            </w:r>
          </w:p>
        </w:tc>
        <w:tc>
          <w:tcPr>
            <w:tcW w:w="761" w:type="dxa"/>
            <w:tcBorders>
              <w:top w:val="nil"/>
              <w:left w:val="nil"/>
              <w:bottom w:val="nil"/>
              <w:right w:val="nil"/>
            </w:tcBorders>
            <w:shd w:val="clear" w:color="auto" w:fill="auto"/>
            <w:vAlign w:val="center"/>
          </w:tcPr>
          <w:p w14:paraId="77E0EE00" w14:textId="0D09AFB9" w:rsidR="00A454ED" w:rsidRPr="00372D3F" w:rsidRDefault="00A454ED" w:rsidP="00A454ED">
            <w:pPr>
              <w:spacing w:after="0" w:line="240" w:lineRule="auto"/>
              <w:jc w:val="center"/>
              <w:rPr>
                <w:rFonts w:asciiTheme="majorHAnsi" w:hAnsiTheme="majorHAnsi" w:cstheme="majorHAnsi"/>
                <w:sz w:val="22"/>
              </w:rPr>
            </w:pPr>
            <w:r w:rsidRPr="005A1CE1">
              <w:t>3,15</w:t>
            </w:r>
          </w:p>
        </w:tc>
        <w:tc>
          <w:tcPr>
            <w:tcW w:w="761" w:type="dxa"/>
            <w:tcBorders>
              <w:top w:val="nil"/>
              <w:left w:val="nil"/>
              <w:bottom w:val="nil"/>
              <w:right w:val="nil"/>
            </w:tcBorders>
            <w:shd w:val="clear" w:color="auto" w:fill="auto"/>
            <w:vAlign w:val="center"/>
          </w:tcPr>
          <w:p w14:paraId="0B176FE9" w14:textId="6EE1F4C4" w:rsidR="00A454ED" w:rsidRPr="00372D3F" w:rsidRDefault="00A454ED" w:rsidP="00A454ED">
            <w:pPr>
              <w:spacing w:after="0" w:line="240" w:lineRule="auto"/>
              <w:jc w:val="center"/>
              <w:rPr>
                <w:rFonts w:asciiTheme="majorHAnsi" w:hAnsiTheme="majorHAnsi" w:cstheme="majorHAnsi"/>
                <w:sz w:val="22"/>
              </w:rPr>
            </w:pPr>
            <w:r w:rsidRPr="005A1CE1">
              <w:t>3,15</w:t>
            </w:r>
          </w:p>
        </w:tc>
        <w:tc>
          <w:tcPr>
            <w:tcW w:w="761" w:type="dxa"/>
            <w:tcBorders>
              <w:top w:val="nil"/>
              <w:left w:val="nil"/>
              <w:bottom w:val="nil"/>
              <w:right w:val="nil"/>
            </w:tcBorders>
            <w:shd w:val="clear" w:color="auto" w:fill="auto"/>
            <w:vAlign w:val="center"/>
          </w:tcPr>
          <w:p w14:paraId="1D2D0581" w14:textId="2F27AA1D" w:rsidR="00A454ED" w:rsidRPr="00372D3F" w:rsidRDefault="00A454ED" w:rsidP="00A454ED">
            <w:pPr>
              <w:spacing w:after="0" w:line="240" w:lineRule="auto"/>
              <w:jc w:val="center"/>
              <w:rPr>
                <w:rFonts w:asciiTheme="majorHAnsi" w:hAnsiTheme="majorHAnsi" w:cstheme="majorHAnsi"/>
                <w:sz w:val="22"/>
              </w:rPr>
            </w:pPr>
            <w:r w:rsidRPr="005A1CE1">
              <w:t>3,15</w:t>
            </w:r>
          </w:p>
        </w:tc>
        <w:tc>
          <w:tcPr>
            <w:tcW w:w="761" w:type="dxa"/>
            <w:tcBorders>
              <w:top w:val="nil"/>
              <w:left w:val="nil"/>
              <w:bottom w:val="nil"/>
              <w:right w:val="nil"/>
            </w:tcBorders>
            <w:shd w:val="clear" w:color="auto" w:fill="auto"/>
            <w:vAlign w:val="center"/>
          </w:tcPr>
          <w:p w14:paraId="6338E0C1" w14:textId="21EE5E3D" w:rsidR="00A454ED" w:rsidRPr="00372D3F" w:rsidRDefault="00A454ED" w:rsidP="00A454ED">
            <w:pPr>
              <w:spacing w:after="0" w:line="240" w:lineRule="auto"/>
              <w:jc w:val="center"/>
              <w:rPr>
                <w:rFonts w:asciiTheme="majorHAnsi" w:hAnsiTheme="majorHAnsi" w:cstheme="majorHAnsi"/>
                <w:sz w:val="22"/>
              </w:rPr>
            </w:pPr>
            <w:r w:rsidRPr="005A1CE1">
              <w:t>3,15</w:t>
            </w:r>
          </w:p>
        </w:tc>
        <w:tc>
          <w:tcPr>
            <w:tcW w:w="761" w:type="dxa"/>
            <w:tcBorders>
              <w:top w:val="nil"/>
              <w:left w:val="nil"/>
              <w:bottom w:val="nil"/>
              <w:right w:val="nil"/>
            </w:tcBorders>
            <w:shd w:val="clear" w:color="auto" w:fill="auto"/>
            <w:vAlign w:val="center"/>
          </w:tcPr>
          <w:p w14:paraId="1813437A" w14:textId="75A8388D" w:rsidR="00A454ED" w:rsidRPr="00372D3F" w:rsidRDefault="00A454ED" w:rsidP="00A454ED">
            <w:pPr>
              <w:spacing w:after="0" w:line="240" w:lineRule="auto"/>
              <w:jc w:val="center"/>
              <w:rPr>
                <w:rFonts w:asciiTheme="majorHAnsi" w:hAnsiTheme="majorHAnsi" w:cstheme="majorHAnsi"/>
                <w:sz w:val="22"/>
              </w:rPr>
            </w:pPr>
            <w:r w:rsidRPr="005A1CE1">
              <w:t>3,15</w:t>
            </w:r>
          </w:p>
        </w:tc>
      </w:tr>
      <w:tr w:rsidR="00A454ED" w:rsidRPr="007D5465" w14:paraId="02D2EB95" w14:textId="77777777" w:rsidTr="00A454ED">
        <w:trPr>
          <w:gridAfter w:val="1"/>
          <w:wAfter w:w="2122" w:type="dxa"/>
          <w:trHeight w:val="806"/>
        </w:trPr>
        <w:tc>
          <w:tcPr>
            <w:tcW w:w="4251" w:type="dxa"/>
            <w:tcBorders>
              <w:top w:val="single" w:sz="4" w:space="0" w:color="auto"/>
              <w:bottom w:val="single" w:sz="4" w:space="0" w:color="auto"/>
              <w:right w:val="single" w:sz="4" w:space="0" w:color="auto"/>
            </w:tcBorders>
            <w:vAlign w:val="center"/>
          </w:tcPr>
          <w:p w14:paraId="2D4D7660" w14:textId="77777777" w:rsidR="00A454ED" w:rsidRPr="00A8737D" w:rsidRDefault="00A454ED" w:rsidP="00A454ED">
            <w:pPr>
              <w:tabs>
                <w:tab w:val="left" w:pos="1169"/>
              </w:tabs>
              <w:spacing w:after="0" w:line="240" w:lineRule="auto"/>
              <w:jc w:val="left"/>
              <w:rPr>
                <w:sz w:val="22"/>
              </w:rPr>
            </w:pPr>
            <w:r w:rsidRPr="00A8737D">
              <w:rPr>
                <w:sz w:val="22"/>
              </w:rPr>
              <w:t>Priorytet 3</w:t>
            </w:r>
            <w:r w:rsidRPr="00A8737D">
              <w:rPr>
                <w:sz w:val="22"/>
              </w:rPr>
              <w:br/>
            </w:r>
            <w:r w:rsidRPr="00A8737D">
              <w:rPr>
                <w:rFonts w:eastAsia="Calibri"/>
                <w:sz w:val="22"/>
              </w:rPr>
              <w:t>Rozwój instytucjonalny lokalnych organizacji strażniczych i mediów obywatelskich</w:t>
            </w:r>
          </w:p>
        </w:tc>
        <w:tc>
          <w:tcPr>
            <w:tcW w:w="761" w:type="dxa"/>
            <w:tcBorders>
              <w:top w:val="nil"/>
              <w:left w:val="single" w:sz="4" w:space="0" w:color="auto"/>
              <w:bottom w:val="nil"/>
              <w:right w:val="nil"/>
            </w:tcBorders>
            <w:shd w:val="clear" w:color="auto" w:fill="auto"/>
            <w:vAlign w:val="center"/>
          </w:tcPr>
          <w:p w14:paraId="0FC30942" w14:textId="5FF23212" w:rsidR="00A454ED" w:rsidRPr="00372D3F" w:rsidRDefault="00A454ED" w:rsidP="00A454ED">
            <w:pPr>
              <w:spacing w:after="0" w:line="240" w:lineRule="auto"/>
              <w:jc w:val="center"/>
              <w:rPr>
                <w:rFonts w:asciiTheme="majorHAnsi" w:hAnsiTheme="majorHAnsi" w:cstheme="majorHAnsi"/>
                <w:sz w:val="22"/>
              </w:rPr>
            </w:pPr>
            <w:r w:rsidRPr="005A1CE1">
              <w:t>3,6</w:t>
            </w:r>
          </w:p>
        </w:tc>
        <w:tc>
          <w:tcPr>
            <w:tcW w:w="761" w:type="dxa"/>
            <w:tcBorders>
              <w:top w:val="nil"/>
              <w:left w:val="nil"/>
              <w:bottom w:val="nil"/>
              <w:right w:val="nil"/>
            </w:tcBorders>
            <w:shd w:val="clear" w:color="auto" w:fill="auto"/>
            <w:vAlign w:val="center"/>
          </w:tcPr>
          <w:p w14:paraId="4846EE49" w14:textId="31DB8A8E" w:rsidR="00A454ED" w:rsidRPr="00372D3F" w:rsidRDefault="00A454ED" w:rsidP="00A454ED">
            <w:pPr>
              <w:spacing w:after="0" w:line="240" w:lineRule="auto"/>
              <w:jc w:val="center"/>
              <w:rPr>
                <w:rFonts w:asciiTheme="majorHAnsi" w:hAnsiTheme="majorHAnsi" w:cstheme="majorHAnsi"/>
                <w:sz w:val="22"/>
              </w:rPr>
            </w:pPr>
            <w:r w:rsidRPr="005A1CE1">
              <w:t>3,6</w:t>
            </w:r>
          </w:p>
        </w:tc>
        <w:tc>
          <w:tcPr>
            <w:tcW w:w="761" w:type="dxa"/>
            <w:tcBorders>
              <w:top w:val="nil"/>
              <w:left w:val="nil"/>
              <w:bottom w:val="nil"/>
              <w:right w:val="nil"/>
            </w:tcBorders>
            <w:shd w:val="clear" w:color="auto" w:fill="auto"/>
            <w:vAlign w:val="center"/>
          </w:tcPr>
          <w:p w14:paraId="64304108" w14:textId="38095A01" w:rsidR="00A454ED" w:rsidRPr="00372D3F" w:rsidRDefault="00A454ED" w:rsidP="00A454ED">
            <w:pPr>
              <w:spacing w:after="0" w:line="240" w:lineRule="auto"/>
              <w:jc w:val="center"/>
              <w:rPr>
                <w:rFonts w:asciiTheme="majorHAnsi" w:hAnsiTheme="majorHAnsi" w:cstheme="majorHAnsi"/>
                <w:sz w:val="22"/>
              </w:rPr>
            </w:pPr>
            <w:r w:rsidRPr="005A1CE1">
              <w:t>3,6</w:t>
            </w:r>
          </w:p>
        </w:tc>
        <w:tc>
          <w:tcPr>
            <w:tcW w:w="762" w:type="dxa"/>
            <w:tcBorders>
              <w:top w:val="nil"/>
              <w:left w:val="nil"/>
              <w:bottom w:val="nil"/>
              <w:right w:val="nil"/>
            </w:tcBorders>
            <w:shd w:val="clear" w:color="auto" w:fill="auto"/>
            <w:vAlign w:val="center"/>
          </w:tcPr>
          <w:p w14:paraId="2A3BB9EE" w14:textId="66640B6B" w:rsidR="00A454ED" w:rsidRPr="00372D3F" w:rsidRDefault="00A454ED" w:rsidP="00A454ED">
            <w:pPr>
              <w:spacing w:after="0" w:line="240" w:lineRule="auto"/>
              <w:jc w:val="center"/>
              <w:rPr>
                <w:rFonts w:asciiTheme="majorHAnsi" w:hAnsiTheme="majorHAnsi" w:cstheme="majorHAnsi"/>
                <w:sz w:val="22"/>
              </w:rPr>
            </w:pPr>
            <w:r w:rsidRPr="005A1CE1">
              <w:t>3,6</w:t>
            </w:r>
          </w:p>
        </w:tc>
        <w:tc>
          <w:tcPr>
            <w:tcW w:w="762" w:type="dxa"/>
            <w:tcBorders>
              <w:top w:val="nil"/>
              <w:left w:val="nil"/>
              <w:bottom w:val="nil"/>
              <w:right w:val="nil"/>
            </w:tcBorders>
            <w:shd w:val="clear" w:color="auto" w:fill="auto"/>
            <w:vAlign w:val="center"/>
          </w:tcPr>
          <w:p w14:paraId="5058BA20" w14:textId="37560CD4" w:rsidR="00A454ED" w:rsidRPr="00372D3F" w:rsidRDefault="00A454ED" w:rsidP="00A454ED">
            <w:pPr>
              <w:spacing w:after="0" w:line="240" w:lineRule="auto"/>
              <w:jc w:val="center"/>
              <w:rPr>
                <w:rFonts w:asciiTheme="majorHAnsi" w:hAnsiTheme="majorHAnsi" w:cstheme="majorHAnsi"/>
                <w:sz w:val="22"/>
              </w:rPr>
            </w:pPr>
            <w:r w:rsidRPr="005A1CE1">
              <w:t>3,6</w:t>
            </w:r>
          </w:p>
        </w:tc>
        <w:tc>
          <w:tcPr>
            <w:tcW w:w="762" w:type="dxa"/>
            <w:tcBorders>
              <w:top w:val="nil"/>
              <w:left w:val="nil"/>
              <w:bottom w:val="nil"/>
              <w:right w:val="nil"/>
            </w:tcBorders>
            <w:shd w:val="clear" w:color="auto" w:fill="auto"/>
            <w:vAlign w:val="center"/>
          </w:tcPr>
          <w:p w14:paraId="76E92F38" w14:textId="0614A2D0" w:rsidR="00A454ED" w:rsidRPr="00372D3F" w:rsidRDefault="00A454ED" w:rsidP="00A454ED">
            <w:pPr>
              <w:spacing w:after="0" w:line="240" w:lineRule="auto"/>
              <w:jc w:val="center"/>
              <w:rPr>
                <w:rFonts w:asciiTheme="majorHAnsi" w:hAnsiTheme="majorHAnsi" w:cstheme="majorHAnsi"/>
                <w:sz w:val="22"/>
              </w:rPr>
            </w:pPr>
            <w:r w:rsidRPr="005A1CE1">
              <w:t>3,6</w:t>
            </w:r>
          </w:p>
        </w:tc>
        <w:tc>
          <w:tcPr>
            <w:tcW w:w="761" w:type="dxa"/>
            <w:tcBorders>
              <w:top w:val="nil"/>
              <w:left w:val="nil"/>
              <w:bottom w:val="nil"/>
              <w:right w:val="nil"/>
            </w:tcBorders>
            <w:shd w:val="clear" w:color="auto" w:fill="auto"/>
            <w:vAlign w:val="center"/>
          </w:tcPr>
          <w:p w14:paraId="6AC57020" w14:textId="5E723475" w:rsidR="00A454ED" w:rsidRPr="00372D3F" w:rsidRDefault="00A454ED" w:rsidP="00A454ED">
            <w:pPr>
              <w:spacing w:after="0" w:line="240" w:lineRule="auto"/>
              <w:jc w:val="center"/>
              <w:rPr>
                <w:rFonts w:asciiTheme="majorHAnsi" w:hAnsiTheme="majorHAnsi" w:cstheme="majorHAnsi"/>
                <w:sz w:val="22"/>
              </w:rPr>
            </w:pPr>
            <w:r w:rsidRPr="005A1CE1">
              <w:t>3,6</w:t>
            </w:r>
          </w:p>
        </w:tc>
        <w:tc>
          <w:tcPr>
            <w:tcW w:w="761" w:type="dxa"/>
            <w:tcBorders>
              <w:top w:val="nil"/>
              <w:left w:val="nil"/>
              <w:bottom w:val="nil"/>
              <w:right w:val="nil"/>
            </w:tcBorders>
            <w:shd w:val="clear" w:color="auto" w:fill="auto"/>
            <w:vAlign w:val="center"/>
          </w:tcPr>
          <w:p w14:paraId="336B7456" w14:textId="3CAFE4C7" w:rsidR="00A454ED" w:rsidRPr="00372D3F" w:rsidRDefault="00A454ED" w:rsidP="00A454ED">
            <w:pPr>
              <w:spacing w:after="0" w:line="240" w:lineRule="auto"/>
              <w:jc w:val="center"/>
              <w:rPr>
                <w:rFonts w:asciiTheme="majorHAnsi" w:hAnsiTheme="majorHAnsi" w:cstheme="majorHAnsi"/>
                <w:sz w:val="22"/>
              </w:rPr>
            </w:pPr>
            <w:r w:rsidRPr="005A1CE1">
              <w:t>3,6</w:t>
            </w:r>
          </w:p>
        </w:tc>
        <w:tc>
          <w:tcPr>
            <w:tcW w:w="761" w:type="dxa"/>
            <w:tcBorders>
              <w:top w:val="nil"/>
              <w:left w:val="nil"/>
              <w:bottom w:val="nil"/>
              <w:right w:val="nil"/>
            </w:tcBorders>
            <w:shd w:val="clear" w:color="auto" w:fill="auto"/>
            <w:vAlign w:val="center"/>
          </w:tcPr>
          <w:p w14:paraId="3C5AD2B2" w14:textId="6C54AC59" w:rsidR="00A454ED" w:rsidRPr="00372D3F" w:rsidRDefault="00A454ED" w:rsidP="00A454ED">
            <w:pPr>
              <w:spacing w:after="0" w:line="240" w:lineRule="auto"/>
              <w:jc w:val="center"/>
              <w:rPr>
                <w:rFonts w:asciiTheme="majorHAnsi" w:hAnsiTheme="majorHAnsi" w:cstheme="majorHAnsi"/>
                <w:sz w:val="22"/>
              </w:rPr>
            </w:pPr>
            <w:r w:rsidRPr="005A1CE1">
              <w:t>3,6</w:t>
            </w:r>
          </w:p>
        </w:tc>
        <w:tc>
          <w:tcPr>
            <w:tcW w:w="761" w:type="dxa"/>
            <w:tcBorders>
              <w:top w:val="nil"/>
              <w:left w:val="nil"/>
              <w:bottom w:val="nil"/>
              <w:right w:val="nil"/>
            </w:tcBorders>
            <w:shd w:val="clear" w:color="auto" w:fill="auto"/>
            <w:vAlign w:val="center"/>
          </w:tcPr>
          <w:p w14:paraId="0351CD23" w14:textId="417AA8B1" w:rsidR="00A454ED" w:rsidRPr="00372D3F" w:rsidRDefault="00A454ED" w:rsidP="00A454ED">
            <w:pPr>
              <w:spacing w:after="0" w:line="240" w:lineRule="auto"/>
              <w:jc w:val="center"/>
              <w:rPr>
                <w:rFonts w:asciiTheme="majorHAnsi" w:hAnsiTheme="majorHAnsi" w:cstheme="majorHAnsi"/>
                <w:sz w:val="22"/>
              </w:rPr>
            </w:pPr>
            <w:r w:rsidRPr="005A1CE1">
              <w:t>3,6</w:t>
            </w:r>
          </w:p>
        </w:tc>
        <w:tc>
          <w:tcPr>
            <w:tcW w:w="761" w:type="dxa"/>
            <w:tcBorders>
              <w:top w:val="nil"/>
              <w:left w:val="nil"/>
              <w:bottom w:val="nil"/>
              <w:right w:val="nil"/>
            </w:tcBorders>
            <w:shd w:val="clear" w:color="auto" w:fill="auto"/>
            <w:vAlign w:val="center"/>
          </w:tcPr>
          <w:p w14:paraId="74375C5A" w14:textId="1CE5420F" w:rsidR="00A454ED" w:rsidRPr="00372D3F" w:rsidRDefault="00A454ED" w:rsidP="00A454ED">
            <w:pPr>
              <w:spacing w:after="0" w:line="240" w:lineRule="auto"/>
              <w:jc w:val="center"/>
              <w:rPr>
                <w:rFonts w:asciiTheme="majorHAnsi" w:hAnsiTheme="majorHAnsi" w:cstheme="majorHAnsi"/>
                <w:sz w:val="22"/>
              </w:rPr>
            </w:pPr>
            <w:r w:rsidRPr="005A1CE1">
              <w:t>3,6</w:t>
            </w:r>
          </w:p>
        </w:tc>
        <w:tc>
          <w:tcPr>
            <w:tcW w:w="761" w:type="dxa"/>
            <w:tcBorders>
              <w:top w:val="nil"/>
              <w:left w:val="nil"/>
              <w:bottom w:val="nil"/>
              <w:right w:val="nil"/>
            </w:tcBorders>
            <w:shd w:val="clear" w:color="auto" w:fill="auto"/>
            <w:vAlign w:val="center"/>
          </w:tcPr>
          <w:p w14:paraId="0ADEE216" w14:textId="5913DCF2" w:rsidR="00A454ED" w:rsidRPr="00372D3F" w:rsidRDefault="00A454ED" w:rsidP="00A454ED">
            <w:pPr>
              <w:spacing w:after="0" w:line="240" w:lineRule="auto"/>
              <w:jc w:val="center"/>
              <w:rPr>
                <w:rFonts w:asciiTheme="majorHAnsi" w:hAnsiTheme="majorHAnsi" w:cstheme="majorHAnsi"/>
                <w:sz w:val="22"/>
              </w:rPr>
            </w:pPr>
            <w:r w:rsidRPr="005A1CE1">
              <w:t>3,6</w:t>
            </w:r>
          </w:p>
        </w:tc>
        <w:tc>
          <w:tcPr>
            <w:tcW w:w="761" w:type="dxa"/>
            <w:tcBorders>
              <w:top w:val="nil"/>
              <w:left w:val="nil"/>
              <w:bottom w:val="nil"/>
              <w:right w:val="nil"/>
            </w:tcBorders>
            <w:shd w:val="clear" w:color="auto" w:fill="auto"/>
            <w:vAlign w:val="center"/>
          </w:tcPr>
          <w:p w14:paraId="23941413" w14:textId="084F74E1" w:rsidR="00A454ED" w:rsidRPr="00372D3F" w:rsidRDefault="00A454ED" w:rsidP="00A454ED">
            <w:pPr>
              <w:spacing w:after="0" w:line="240" w:lineRule="auto"/>
              <w:jc w:val="center"/>
              <w:rPr>
                <w:rFonts w:asciiTheme="majorHAnsi" w:hAnsiTheme="majorHAnsi" w:cstheme="majorHAnsi"/>
                <w:sz w:val="22"/>
              </w:rPr>
            </w:pPr>
            <w:r w:rsidRPr="005A1CE1">
              <w:t>3,6</w:t>
            </w:r>
          </w:p>
        </w:tc>
      </w:tr>
      <w:tr w:rsidR="00A454ED" w:rsidRPr="007D5465" w14:paraId="672F6F1E" w14:textId="77777777" w:rsidTr="00A454ED">
        <w:trPr>
          <w:gridAfter w:val="1"/>
          <w:wAfter w:w="2122" w:type="dxa"/>
          <w:trHeight w:val="806"/>
        </w:trPr>
        <w:tc>
          <w:tcPr>
            <w:tcW w:w="4251" w:type="dxa"/>
            <w:tcBorders>
              <w:top w:val="single" w:sz="4" w:space="0" w:color="auto"/>
              <w:bottom w:val="single" w:sz="4" w:space="0" w:color="auto"/>
              <w:right w:val="single" w:sz="4" w:space="0" w:color="auto"/>
            </w:tcBorders>
            <w:vAlign w:val="center"/>
          </w:tcPr>
          <w:p w14:paraId="70A45BF6" w14:textId="77777777" w:rsidR="00A454ED" w:rsidRPr="00A8737D" w:rsidRDefault="00A454ED" w:rsidP="00A454ED">
            <w:pPr>
              <w:tabs>
                <w:tab w:val="left" w:pos="1169"/>
              </w:tabs>
              <w:spacing w:after="0" w:line="240" w:lineRule="auto"/>
              <w:jc w:val="left"/>
              <w:rPr>
                <w:sz w:val="22"/>
              </w:rPr>
            </w:pPr>
            <w:r w:rsidRPr="00A8737D">
              <w:rPr>
                <w:sz w:val="22"/>
              </w:rPr>
              <w:t>Priorytet 4</w:t>
            </w:r>
            <w:r w:rsidRPr="00A8737D">
              <w:rPr>
                <w:sz w:val="22"/>
              </w:rPr>
              <w:br/>
            </w:r>
            <w:r w:rsidRPr="00A8737D">
              <w:rPr>
                <w:rFonts w:eastAsia="Calibri"/>
                <w:sz w:val="22"/>
              </w:rPr>
              <w:t xml:space="preserve">Rozwój instytucjonalny </w:t>
            </w:r>
            <w:proofErr w:type="spellStart"/>
            <w:r w:rsidRPr="00A8737D">
              <w:rPr>
                <w:rFonts w:eastAsia="Calibri"/>
                <w:sz w:val="22"/>
              </w:rPr>
              <w:t>think</w:t>
            </w:r>
            <w:proofErr w:type="spellEnd"/>
            <w:r w:rsidRPr="00A8737D">
              <w:rPr>
                <w:rFonts w:eastAsia="Calibri"/>
                <w:sz w:val="22"/>
              </w:rPr>
              <w:t xml:space="preserve"> tanków obywatelskich</w:t>
            </w:r>
          </w:p>
        </w:tc>
        <w:tc>
          <w:tcPr>
            <w:tcW w:w="761" w:type="dxa"/>
            <w:tcBorders>
              <w:top w:val="nil"/>
              <w:left w:val="single" w:sz="4" w:space="0" w:color="auto"/>
              <w:right w:val="nil"/>
            </w:tcBorders>
            <w:shd w:val="clear" w:color="auto" w:fill="auto"/>
            <w:vAlign w:val="center"/>
          </w:tcPr>
          <w:p w14:paraId="6C68EC58" w14:textId="19026C5B" w:rsidR="00A454ED" w:rsidRPr="00372D3F" w:rsidRDefault="00A454ED" w:rsidP="00A454ED">
            <w:pPr>
              <w:spacing w:after="0" w:line="240" w:lineRule="auto"/>
              <w:jc w:val="center"/>
              <w:rPr>
                <w:rFonts w:asciiTheme="majorHAnsi" w:hAnsiTheme="majorHAnsi" w:cstheme="majorHAnsi"/>
                <w:sz w:val="22"/>
              </w:rPr>
            </w:pPr>
            <w:r w:rsidRPr="005A1CE1">
              <w:t>3,6</w:t>
            </w:r>
          </w:p>
        </w:tc>
        <w:tc>
          <w:tcPr>
            <w:tcW w:w="761" w:type="dxa"/>
            <w:tcBorders>
              <w:top w:val="nil"/>
              <w:left w:val="nil"/>
              <w:right w:val="nil"/>
            </w:tcBorders>
            <w:shd w:val="clear" w:color="auto" w:fill="auto"/>
            <w:vAlign w:val="center"/>
          </w:tcPr>
          <w:p w14:paraId="103FE62E" w14:textId="5D5E6056" w:rsidR="00A454ED" w:rsidRPr="00372D3F" w:rsidRDefault="00A454ED" w:rsidP="00A454ED">
            <w:pPr>
              <w:spacing w:after="0" w:line="240" w:lineRule="auto"/>
              <w:jc w:val="center"/>
              <w:rPr>
                <w:rFonts w:asciiTheme="majorHAnsi" w:hAnsiTheme="majorHAnsi" w:cstheme="majorHAnsi"/>
                <w:sz w:val="22"/>
              </w:rPr>
            </w:pPr>
            <w:r w:rsidRPr="005A1CE1">
              <w:t>3,6</w:t>
            </w:r>
          </w:p>
        </w:tc>
        <w:tc>
          <w:tcPr>
            <w:tcW w:w="761" w:type="dxa"/>
            <w:tcBorders>
              <w:top w:val="nil"/>
              <w:left w:val="nil"/>
              <w:right w:val="nil"/>
            </w:tcBorders>
            <w:shd w:val="clear" w:color="auto" w:fill="auto"/>
            <w:vAlign w:val="center"/>
          </w:tcPr>
          <w:p w14:paraId="7E6E3013" w14:textId="63CCA524" w:rsidR="00A454ED" w:rsidRPr="00372D3F" w:rsidRDefault="00A454ED" w:rsidP="00A454ED">
            <w:pPr>
              <w:spacing w:after="0" w:line="240" w:lineRule="auto"/>
              <w:jc w:val="center"/>
              <w:rPr>
                <w:rFonts w:asciiTheme="majorHAnsi" w:hAnsiTheme="majorHAnsi" w:cstheme="majorHAnsi"/>
                <w:sz w:val="22"/>
              </w:rPr>
            </w:pPr>
            <w:r w:rsidRPr="005A1CE1">
              <w:t>3,6</w:t>
            </w:r>
          </w:p>
        </w:tc>
        <w:tc>
          <w:tcPr>
            <w:tcW w:w="762" w:type="dxa"/>
            <w:tcBorders>
              <w:top w:val="nil"/>
              <w:left w:val="nil"/>
              <w:right w:val="nil"/>
            </w:tcBorders>
            <w:shd w:val="clear" w:color="auto" w:fill="auto"/>
            <w:vAlign w:val="center"/>
          </w:tcPr>
          <w:p w14:paraId="64374009" w14:textId="34FB7F98" w:rsidR="00A454ED" w:rsidRPr="00372D3F" w:rsidRDefault="00A454ED" w:rsidP="00A454ED">
            <w:pPr>
              <w:spacing w:after="0" w:line="240" w:lineRule="auto"/>
              <w:jc w:val="center"/>
              <w:rPr>
                <w:rFonts w:asciiTheme="majorHAnsi" w:hAnsiTheme="majorHAnsi" w:cstheme="majorHAnsi"/>
                <w:sz w:val="22"/>
              </w:rPr>
            </w:pPr>
            <w:r w:rsidRPr="005A1CE1">
              <w:t>3,6</w:t>
            </w:r>
          </w:p>
        </w:tc>
        <w:tc>
          <w:tcPr>
            <w:tcW w:w="762" w:type="dxa"/>
            <w:tcBorders>
              <w:top w:val="nil"/>
              <w:left w:val="nil"/>
              <w:right w:val="nil"/>
            </w:tcBorders>
            <w:shd w:val="clear" w:color="auto" w:fill="auto"/>
            <w:vAlign w:val="center"/>
          </w:tcPr>
          <w:p w14:paraId="36A09248" w14:textId="446BAFCC" w:rsidR="00A454ED" w:rsidRPr="00372D3F" w:rsidRDefault="00A454ED" w:rsidP="00A454ED">
            <w:pPr>
              <w:spacing w:after="0" w:line="240" w:lineRule="auto"/>
              <w:jc w:val="center"/>
              <w:rPr>
                <w:rFonts w:asciiTheme="majorHAnsi" w:hAnsiTheme="majorHAnsi" w:cstheme="majorHAnsi"/>
                <w:sz w:val="22"/>
              </w:rPr>
            </w:pPr>
            <w:r w:rsidRPr="005A1CE1">
              <w:t>3,6</w:t>
            </w:r>
          </w:p>
        </w:tc>
        <w:tc>
          <w:tcPr>
            <w:tcW w:w="762" w:type="dxa"/>
            <w:tcBorders>
              <w:top w:val="nil"/>
              <w:left w:val="nil"/>
              <w:right w:val="nil"/>
            </w:tcBorders>
            <w:shd w:val="clear" w:color="auto" w:fill="auto"/>
            <w:vAlign w:val="center"/>
          </w:tcPr>
          <w:p w14:paraId="4918950B" w14:textId="381C64FB" w:rsidR="00A454ED" w:rsidRPr="00372D3F" w:rsidRDefault="00A454ED" w:rsidP="00A454ED">
            <w:pPr>
              <w:spacing w:after="0" w:line="240" w:lineRule="auto"/>
              <w:jc w:val="center"/>
              <w:rPr>
                <w:rFonts w:asciiTheme="majorHAnsi" w:hAnsiTheme="majorHAnsi" w:cstheme="majorHAnsi"/>
                <w:sz w:val="22"/>
              </w:rPr>
            </w:pPr>
            <w:r w:rsidRPr="005A1CE1">
              <w:t>3,6</w:t>
            </w:r>
          </w:p>
        </w:tc>
        <w:tc>
          <w:tcPr>
            <w:tcW w:w="761" w:type="dxa"/>
            <w:tcBorders>
              <w:top w:val="nil"/>
              <w:left w:val="nil"/>
              <w:right w:val="nil"/>
            </w:tcBorders>
            <w:shd w:val="clear" w:color="auto" w:fill="auto"/>
            <w:vAlign w:val="center"/>
          </w:tcPr>
          <w:p w14:paraId="4F1AAC60" w14:textId="19C3FB83" w:rsidR="00A454ED" w:rsidRPr="00372D3F" w:rsidRDefault="00A454ED" w:rsidP="00A454ED">
            <w:pPr>
              <w:spacing w:after="0" w:line="240" w:lineRule="auto"/>
              <w:jc w:val="center"/>
              <w:rPr>
                <w:rFonts w:asciiTheme="majorHAnsi" w:hAnsiTheme="majorHAnsi" w:cstheme="majorHAnsi"/>
                <w:sz w:val="22"/>
              </w:rPr>
            </w:pPr>
            <w:r w:rsidRPr="005A1CE1">
              <w:t>3,6</w:t>
            </w:r>
          </w:p>
        </w:tc>
        <w:tc>
          <w:tcPr>
            <w:tcW w:w="761" w:type="dxa"/>
            <w:tcBorders>
              <w:top w:val="nil"/>
              <w:left w:val="nil"/>
              <w:right w:val="nil"/>
            </w:tcBorders>
            <w:shd w:val="clear" w:color="auto" w:fill="auto"/>
            <w:vAlign w:val="center"/>
          </w:tcPr>
          <w:p w14:paraId="4D53AF7F" w14:textId="71C69B6A" w:rsidR="00A454ED" w:rsidRPr="00372D3F" w:rsidRDefault="00A454ED" w:rsidP="00A454ED">
            <w:pPr>
              <w:spacing w:after="0" w:line="240" w:lineRule="auto"/>
              <w:jc w:val="center"/>
              <w:rPr>
                <w:rFonts w:asciiTheme="majorHAnsi" w:hAnsiTheme="majorHAnsi" w:cstheme="majorHAnsi"/>
                <w:sz w:val="22"/>
              </w:rPr>
            </w:pPr>
            <w:r w:rsidRPr="005A1CE1">
              <w:t>3,6</w:t>
            </w:r>
          </w:p>
        </w:tc>
        <w:tc>
          <w:tcPr>
            <w:tcW w:w="761" w:type="dxa"/>
            <w:tcBorders>
              <w:top w:val="nil"/>
              <w:left w:val="nil"/>
              <w:right w:val="nil"/>
            </w:tcBorders>
            <w:shd w:val="clear" w:color="auto" w:fill="auto"/>
            <w:vAlign w:val="center"/>
          </w:tcPr>
          <w:p w14:paraId="1E808610" w14:textId="5834E900" w:rsidR="00A454ED" w:rsidRPr="00372D3F" w:rsidRDefault="00A454ED" w:rsidP="00A454ED">
            <w:pPr>
              <w:spacing w:after="0" w:line="240" w:lineRule="auto"/>
              <w:jc w:val="center"/>
              <w:rPr>
                <w:rFonts w:asciiTheme="majorHAnsi" w:hAnsiTheme="majorHAnsi" w:cstheme="majorHAnsi"/>
                <w:sz w:val="22"/>
              </w:rPr>
            </w:pPr>
            <w:r w:rsidRPr="005A1CE1">
              <w:t>3,6</w:t>
            </w:r>
          </w:p>
        </w:tc>
        <w:tc>
          <w:tcPr>
            <w:tcW w:w="761" w:type="dxa"/>
            <w:tcBorders>
              <w:top w:val="nil"/>
              <w:left w:val="nil"/>
              <w:right w:val="nil"/>
            </w:tcBorders>
            <w:shd w:val="clear" w:color="auto" w:fill="auto"/>
            <w:vAlign w:val="center"/>
          </w:tcPr>
          <w:p w14:paraId="43A3CF02" w14:textId="031EA76F" w:rsidR="00A454ED" w:rsidRPr="00372D3F" w:rsidRDefault="00A454ED" w:rsidP="00A454ED">
            <w:pPr>
              <w:spacing w:after="0" w:line="240" w:lineRule="auto"/>
              <w:jc w:val="center"/>
              <w:rPr>
                <w:rFonts w:asciiTheme="majorHAnsi" w:hAnsiTheme="majorHAnsi" w:cstheme="majorHAnsi"/>
                <w:sz w:val="22"/>
              </w:rPr>
            </w:pPr>
            <w:r w:rsidRPr="005A1CE1">
              <w:t>3,6</w:t>
            </w:r>
          </w:p>
        </w:tc>
        <w:tc>
          <w:tcPr>
            <w:tcW w:w="761" w:type="dxa"/>
            <w:tcBorders>
              <w:top w:val="nil"/>
              <w:left w:val="nil"/>
              <w:right w:val="nil"/>
            </w:tcBorders>
            <w:shd w:val="clear" w:color="auto" w:fill="auto"/>
            <w:vAlign w:val="center"/>
          </w:tcPr>
          <w:p w14:paraId="7E49463B" w14:textId="79C5788F" w:rsidR="00A454ED" w:rsidRPr="00372D3F" w:rsidRDefault="00A454ED" w:rsidP="00A454ED">
            <w:pPr>
              <w:spacing w:after="0" w:line="240" w:lineRule="auto"/>
              <w:jc w:val="center"/>
              <w:rPr>
                <w:rFonts w:asciiTheme="majorHAnsi" w:hAnsiTheme="majorHAnsi" w:cstheme="majorHAnsi"/>
                <w:sz w:val="22"/>
              </w:rPr>
            </w:pPr>
            <w:r w:rsidRPr="005A1CE1">
              <w:t>3,6</w:t>
            </w:r>
          </w:p>
        </w:tc>
        <w:tc>
          <w:tcPr>
            <w:tcW w:w="761" w:type="dxa"/>
            <w:tcBorders>
              <w:top w:val="nil"/>
              <w:left w:val="nil"/>
              <w:right w:val="nil"/>
            </w:tcBorders>
            <w:shd w:val="clear" w:color="auto" w:fill="auto"/>
            <w:vAlign w:val="center"/>
          </w:tcPr>
          <w:p w14:paraId="5C1842B6" w14:textId="7F4146B5" w:rsidR="00A454ED" w:rsidRPr="00372D3F" w:rsidRDefault="00A454ED" w:rsidP="00A454ED">
            <w:pPr>
              <w:spacing w:after="0" w:line="240" w:lineRule="auto"/>
              <w:jc w:val="center"/>
              <w:rPr>
                <w:rFonts w:asciiTheme="majorHAnsi" w:hAnsiTheme="majorHAnsi" w:cstheme="majorHAnsi"/>
                <w:sz w:val="22"/>
              </w:rPr>
            </w:pPr>
            <w:r w:rsidRPr="005A1CE1">
              <w:t>3,6</w:t>
            </w:r>
          </w:p>
        </w:tc>
        <w:tc>
          <w:tcPr>
            <w:tcW w:w="761" w:type="dxa"/>
            <w:tcBorders>
              <w:top w:val="nil"/>
              <w:left w:val="nil"/>
              <w:right w:val="nil"/>
            </w:tcBorders>
            <w:shd w:val="clear" w:color="auto" w:fill="auto"/>
            <w:vAlign w:val="center"/>
          </w:tcPr>
          <w:p w14:paraId="29C434EF" w14:textId="4443CB32" w:rsidR="00A454ED" w:rsidRPr="00372D3F" w:rsidRDefault="00A454ED" w:rsidP="00A454ED">
            <w:pPr>
              <w:spacing w:after="0" w:line="240" w:lineRule="auto"/>
              <w:jc w:val="center"/>
              <w:rPr>
                <w:rFonts w:asciiTheme="majorHAnsi" w:hAnsiTheme="majorHAnsi" w:cstheme="majorHAnsi"/>
                <w:sz w:val="22"/>
              </w:rPr>
            </w:pPr>
            <w:r w:rsidRPr="005A1CE1">
              <w:t>3,6</w:t>
            </w:r>
          </w:p>
        </w:tc>
      </w:tr>
      <w:tr w:rsidR="00A454ED" w:rsidRPr="007D5465" w14:paraId="33E09A7A" w14:textId="77777777" w:rsidTr="00A454ED">
        <w:trPr>
          <w:gridAfter w:val="1"/>
          <w:wAfter w:w="2122" w:type="dxa"/>
          <w:trHeight w:val="794"/>
        </w:trPr>
        <w:tc>
          <w:tcPr>
            <w:tcW w:w="4251" w:type="dxa"/>
            <w:tcBorders>
              <w:top w:val="single" w:sz="4" w:space="0" w:color="auto"/>
              <w:bottom w:val="single" w:sz="4" w:space="0" w:color="auto"/>
              <w:right w:val="single" w:sz="4" w:space="0" w:color="auto"/>
            </w:tcBorders>
            <w:vAlign w:val="center"/>
          </w:tcPr>
          <w:p w14:paraId="21C6B7E1" w14:textId="77777777" w:rsidR="00A454ED" w:rsidRPr="00A8737D" w:rsidRDefault="00A454ED" w:rsidP="00A454ED">
            <w:pPr>
              <w:tabs>
                <w:tab w:val="left" w:pos="1169"/>
              </w:tabs>
              <w:spacing w:after="0" w:line="240" w:lineRule="auto"/>
              <w:jc w:val="left"/>
              <w:rPr>
                <w:sz w:val="22"/>
              </w:rPr>
            </w:pPr>
            <w:r w:rsidRPr="00A8737D">
              <w:rPr>
                <w:sz w:val="22"/>
              </w:rPr>
              <w:t>Priorytet 5</w:t>
            </w:r>
            <w:r w:rsidRPr="00A8737D">
              <w:rPr>
                <w:sz w:val="22"/>
              </w:rPr>
              <w:br/>
            </w:r>
            <w:r w:rsidRPr="00A8737D">
              <w:rPr>
                <w:rFonts w:eastAsia="Times New Roman"/>
                <w:sz w:val="22"/>
              </w:rPr>
              <w:t>Wsparcie doraźne</w:t>
            </w:r>
          </w:p>
        </w:tc>
        <w:tc>
          <w:tcPr>
            <w:tcW w:w="761" w:type="dxa"/>
            <w:tcBorders>
              <w:top w:val="nil"/>
              <w:left w:val="single" w:sz="4" w:space="0" w:color="auto"/>
              <w:right w:val="nil"/>
            </w:tcBorders>
            <w:shd w:val="clear" w:color="auto" w:fill="auto"/>
            <w:vAlign w:val="center"/>
          </w:tcPr>
          <w:p w14:paraId="5F88EE61" w14:textId="0F0810A7" w:rsidR="00A454ED" w:rsidRPr="00372D3F" w:rsidRDefault="00A454ED" w:rsidP="00A454ED">
            <w:pPr>
              <w:spacing w:after="0" w:line="240" w:lineRule="auto"/>
              <w:jc w:val="center"/>
              <w:rPr>
                <w:rFonts w:asciiTheme="majorHAnsi" w:hAnsiTheme="majorHAnsi" w:cstheme="majorHAnsi"/>
                <w:sz w:val="22"/>
              </w:rPr>
            </w:pPr>
            <w:r w:rsidRPr="005A1CE1">
              <w:t>1,8</w:t>
            </w:r>
          </w:p>
        </w:tc>
        <w:tc>
          <w:tcPr>
            <w:tcW w:w="761" w:type="dxa"/>
            <w:tcBorders>
              <w:top w:val="nil"/>
              <w:left w:val="nil"/>
              <w:right w:val="nil"/>
            </w:tcBorders>
            <w:shd w:val="clear" w:color="auto" w:fill="auto"/>
            <w:vAlign w:val="center"/>
          </w:tcPr>
          <w:p w14:paraId="232DEF8F" w14:textId="45EB980F" w:rsidR="00A454ED" w:rsidRPr="00372D3F" w:rsidRDefault="00A454ED" w:rsidP="00A454ED">
            <w:pPr>
              <w:spacing w:after="0" w:line="240" w:lineRule="auto"/>
              <w:jc w:val="center"/>
              <w:rPr>
                <w:rFonts w:asciiTheme="majorHAnsi" w:hAnsiTheme="majorHAnsi" w:cstheme="majorHAnsi"/>
                <w:sz w:val="22"/>
              </w:rPr>
            </w:pPr>
            <w:r w:rsidRPr="005A1CE1">
              <w:t>1,8</w:t>
            </w:r>
          </w:p>
        </w:tc>
        <w:tc>
          <w:tcPr>
            <w:tcW w:w="761" w:type="dxa"/>
            <w:tcBorders>
              <w:top w:val="nil"/>
              <w:left w:val="nil"/>
              <w:right w:val="nil"/>
            </w:tcBorders>
            <w:shd w:val="clear" w:color="auto" w:fill="auto"/>
            <w:vAlign w:val="center"/>
          </w:tcPr>
          <w:p w14:paraId="344BFF24" w14:textId="67E1738E" w:rsidR="00A454ED" w:rsidRPr="00372D3F" w:rsidRDefault="00A454ED" w:rsidP="00A454ED">
            <w:pPr>
              <w:spacing w:after="0" w:line="240" w:lineRule="auto"/>
              <w:jc w:val="center"/>
              <w:rPr>
                <w:rFonts w:asciiTheme="majorHAnsi" w:hAnsiTheme="majorHAnsi" w:cstheme="majorHAnsi"/>
                <w:sz w:val="22"/>
              </w:rPr>
            </w:pPr>
            <w:r w:rsidRPr="005A1CE1">
              <w:t>1,8</w:t>
            </w:r>
          </w:p>
        </w:tc>
        <w:tc>
          <w:tcPr>
            <w:tcW w:w="762" w:type="dxa"/>
            <w:tcBorders>
              <w:top w:val="nil"/>
              <w:left w:val="nil"/>
              <w:right w:val="nil"/>
            </w:tcBorders>
            <w:shd w:val="clear" w:color="auto" w:fill="auto"/>
            <w:vAlign w:val="center"/>
          </w:tcPr>
          <w:p w14:paraId="6287D8C6" w14:textId="5B94B2BE" w:rsidR="00A454ED" w:rsidRPr="00372D3F" w:rsidRDefault="00A454ED" w:rsidP="00A454ED">
            <w:pPr>
              <w:spacing w:after="0" w:line="240" w:lineRule="auto"/>
              <w:jc w:val="center"/>
              <w:rPr>
                <w:rFonts w:asciiTheme="majorHAnsi" w:hAnsiTheme="majorHAnsi" w:cstheme="majorHAnsi"/>
                <w:sz w:val="22"/>
              </w:rPr>
            </w:pPr>
            <w:r w:rsidRPr="005A1CE1">
              <w:t>1,8</w:t>
            </w:r>
          </w:p>
        </w:tc>
        <w:tc>
          <w:tcPr>
            <w:tcW w:w="762" w:type="dxa"/>
            <w:tcBorders>
              <w:top w:val="nil"/>
              <w:left w:val="nil"/>
              <w:right w:val="nil"/>
            </w:tcBorders>
            <w:shd w:val="clear" w:color="auto" w:fill="auto"/>
            <w:vAlign w:val="center"/>
          </w:tcPr>
          <w:p w14:paraId="109415D3" w14:textId="1CA28CA0" w:rsidR="00A454ED" w:rsidRPr="00372D3F" w:rsidRDefault="00A454ED" w:rsidP="00A454ED">
            <w:pPr>
              <w:spacing w:after="0" w:line="240" w:lineRule="auto"/>
              <w:jc w:val="center"/>
              <w:rPr>
                <w:rFonts w:asciiTheme="majorHAnsi" w:hAnsiTheme="majorHAnsi" w:cstheme="majorHAnsi"/>
                <w:sz w:val="22"/>
              </w:rPr>
            </w:pPr>
            <w:r w:rsidRPr="005A1CE1">
              <w:t>1,8</w:t>
            </w:r>
          </w:p>
        </w:tc>
        <w:tc>
          <w:tcPr>
            <w:tcW w:w="762" w:type="dxa"/>
            <w:tcBorders>
              <w:top w:val="nil"/>
              <w:left w:val="nil"/>
              <w:right w:val="nil"/>
            </w:tcBorders>
            <w:shd w:val="clear" w:color="auto" w:fill="auto"/>
            <w:vAlign w:val="center"/>
          </w:tcPr>
          <w:p w14:paraId="1C15F6BA" w14:textId="5DFD7E21" w:rsidR="00A454ED" w:rsidRPr="00372D3F" w:rsidRDefault="00A454ED" w:rsidP="00A454ED">
            <w:pPr>
              <w:spacing w:after="0" w:line="240" w:lineRule="auto"/>
              <w:jc w:val="center"/>
              <w:rPr>
                <w:rFonts w:asciiTheme="majorHAnsi" w:hAnsiTheme="majorHAnsi" w:cstheme="majorHAnsi"/>
                <w:sz w:val="22"/>
              </w:rPr>
            </w:pPr>
            <w:r w:rsidRPr="005A1CE1">
              <w:t>1,8</w:t>
            </w:r>
          </w:p>
        </w:tc>
        <w:tc>
          <w:tcPr>
            <w:tcW w:w="761" w:type="dxa"/>
            <w:tcBorders>
              <w:top w:val="nil"/>
              <w:left w:val="nil"/>
              <w:right w:val="nil"/>
            </w:tcBorders>
            <w:shd w:val="clear" w:color="auto" w:fill="auto"/>
            <w:vAlign w:val="center"/>
          </w:tcPr>
          <w:p w14:paraId="11A70475" w14:textId="0907015D" w:rsidR="00A454ED" w:rsidRPr="00372D3F" w:rsidRDefault="00A454ED" w:rsidP="00A454ED">
            <w:pPr>
              <w:spacing w:after="0" w:line="240" w:lineRule="auto"/>
              <w:jc w:val="center"/>
              <w:rPr>
                <w:rFonts w:asciiTheme="majorHAnsi" w:hAnsiTheme="majorHAnsi" w:cstheme="majorHAnsi"/>
                <w:sz w:val="22"/>
              </w:rPr>
            </w:pPr>
            <w:r w:rsidRPr="005A1CE1">
              <w:t>1,8</w:t>
            </w:r>
          </w:p>
        </w:tc>
        <w:tc>
          <w:tcPr>
            <w:tcW w:w="761" w:type="dxa"/>
            <w:tcBorders>
              <w:top w:val="nil"/>
              <w:left w:val="nil"/>
              <w:right w:val="nil"/>
            </w:tcBorders>
            <w:shd w:val="clear" w:color="auto" w:fill="auto"/>
            <w:vAlign w:val="center"/>
          </w:tcPr>
          <w:p w14:paraId="4F62A989" w14:textId="69835863" w:rsidR="00A454ED" w:rsidRPr="00372D3F" w:rsidRDefault="00A454ED" w:rsidP="00A454ED">
            <w:pPr>
              <w:spacing w:after="0" w:line="240" w:lineRule="auto"/>
              <w:jc w:val="center"/>
              <w:rPr>
                <w:rFonts w:asciiTheme="majorHAnsi" w:hAnsiTheme="majorHAnsi" w:cstheme="majorHAnsi"/>
                <w:sz w:val="22"/>
              </w:rPr>
            </w:pPr>
            <w:r w:rsidRPr="005A1CE1">
              <w:t>1,8</w:t>
            </w:r>
          </w:p>
        </w:tc>
        <w:tc>
          <w:tcPr>
            <w:tcW w:w="761" w:type="dxa"/>
            <w:tcBorders>
              <w:top w:val="nil"/>
              <w:left w:val="nil"/>
              <w:right w:val="nil"/>
            </w:tcBorders>
            <w:shd w:val="clear" w:color="auto" w:fill="auto"/>
            <w:vAlign w:val="center"/>
          </w:tcPr>
          <w:p w14:paraId="170ECCFB" w14:textId="0DF51A55" w:rsidR="00A454ED" w:rsidRPr="00372D3F" w:rsidRDefault="00A454ED" w:rsidP="00A454ED">
            <w:pPr>
              <w:spacing w:after="0" w:line="240" w:lineRule="auto"/>
              <w:jc w:val="center"/>
              <w:rPr>
                <w:rFonts w:asciiTheme="majorHAnsi" w:hAnsiTheme="majorHAnsi" w:cstheme="majorHAnsi"/>
                <w:sz w:val="22"/>
              </w:rPr>
            </w:pPr>
            <w:r w:rsidRPr="005A1CE1">
              <w:t>1,8</w:t>
            </w:r>
          </w:p>
        </w:tc>
        <w:tc>
          <w:tcPr>
            <w:tcW w:w="761" w:type="dxa"/>
            <w:tcBorders>
              <w:top w:val="nil"/>
              <w:left w:val="nil"/>
              <w:right w:val="nil"/>
            </w:tcBorders>
            <w:shd w:val="clear" w:color="auto" w:fill="auto"/>
            <w:vAlign w:val="center"/>
          </w:tcPr>
          <w:p w14:paraId="2DDA755A" w14:textId="08C11890" w:rsidR="00A454ED" w:rsidRPr="00372D3F" w:rsidRDefault="00A454ED" w:rsidP="00A454ED">
            <w:pPr>
              <w:spacing w:after="0" w:line="240" w:lineRule="auto"/>
              <w:jc w:val="center"/>
              <w:rPr>
                <w:rFonts w:asciiTheme="majorHAnsi" w:hAnsiTheme="majorHAnsi" w:cstheme="majorHAnsi"/>
                <w:sz w:val="22"/>
              </w:rPr>
            </w:pPr>
            <w:r w:rsidRPr="005A1CE1">
              <w:t>1,8</w:t>
            </w:r>
          </w:p>
        </w:tc>
        <w:tc>
          <w:tcPr>
            <w:tcW w:w="761" w:type="dxa"/>
            <w:tcBorders>
              <w:top w:val="nil"/>
              <w:left w:val="nil"/>
              <w:right w:val="nil"/>
            </w:tcBorders>
            <w:shd w:val="clear" w:color="auto" w:fill="auto"/>
            <w:vAlign w:val="center"/>
          </w:tcPr>
          <w:p w14:paraId="30D4D211" w14:textId="645CEFF7" w:rsidR="00A454ED" w:rsidRPr="00372D3F" w:rsidRDefault="00A454ED" w:rsidP="00A454ED">
            <w:pPr>
              <w:spacing w:after="0" w:line="240" w:lineRule="auto"/>
              <w:jc w:val="center"/>
              <w:rPr>
                <w:rFonts w:asciiTheme="majorHAnsi" w:hAnsiTheme="majorHAnsi" w:cstheme="majorHAnsi"/>
                <w:sz w:val="22"/>
              </w:rPr>
            </w:pPr>
            <w:r w:rsidRPr="005A1CE1">
              <w:t>1,8</w:t>
            </w:r>
          </w:p>
        </w:tc>
        <w:tc>
          <w:tcPr>
            <w:tcW w:w="761" w:type="dxa"/>
            <w:tcBorders>
              <w:top w:val="nil"/>
              <w:left w:val="nil"/>
              <w:right w:val="nil"/>
            </w:tcBorders>
            <w:shd w:val="clear" w:color="auto" w:fill="auto"/>
            <w:vAlign w:val="center"/>
          </w:tcPr>
          <w:p w14:paraId="6F8B9DE1" w14:textId="20F97A5D" w:rsidR="00A454ED" w:rsidRPr="00372D3F" w:rsidRDefault="00A454ED" w:rsidP="00A454ED">
            <w:pPr>
              <w:spacing w:after="0" w:line="240" w:lineRule="auto"/>
              <w:jc w:val="center"/>
              <w:rPr>
                <w:rFonts w:asciiTheme="majorHAnsi" w:hAnsiTheme="majorHAnsi" w:cstheme="majorHAnsi"/>
                <w:sz w:val="22"/>
              </w:rPr>
            </w:pPr>
            <w:r w:rsidRPr="005A1CE1">
              <w:t>1,8</w:t>
            </w:r>
          </w:p>
        </w:tc>
        <w:tc>
          <w:tcPr>
            <w:tcW w:w="761" w:type="dxa"/>
            <w:tcBorders>
              <w:top w:val="nil"/>
              <w:left w:val="nil"/>
              <w:right w:val="nil"/>
            </w:tcBorders>
            <w:shd w:val="clear" w:color="auto" w:fill="auto"/>
            <w:vAlign w:val="center"/>
          </w:tcPr>
          <w:p w14:paraId="5A34BA6C" w14:textId="03A07DB8" w:rsidR="00A454ED" w:rsidRPr="00372D3F" w:rsidRDefault="00A454ED" w:rsidP="00A454ED">
            <w:pPr>
              <w:spacing w:after="0" w:line="240" w:lineRule="auto"/>
              <w:jc w:val="center"/>
              <w:rPr>
                <w:rFonts w:asciiTheme="majorHAnsi" w:hAnsiTheme="majorHAnsi" w:cstheme="majorHAnsi"/>
                <w:sz w:val="22"/>
              </w:rPr>
            </w:pPr>
            <w:r w:rsidRPr="005A1CE1">
              <w:t>1,8</w:t>
            </w:r>
          </w:p>
        </w:tc>
      </w:tr>
      <w:tr w:rsidR="00A454ED" w:rsidRPr="007D5465" w14:paraId="0F839E1D" w14:textId="77777777" w:rsidTr="00A454ED">
        <w:trPr>
          <w:gridAfter w:val="1"/>
          <w:wAfter w:w="2122" w:type="dxa"/>
          <w:trHeight w:val="850"/>
        </w:trPr>
        <w:tc>
          <w:tcPr>
            <w:tcW w:w="4251" w:type="dxa"/>
            <w:tcBorders>
              <w:top w:val="single" w:sz="4" w:space="0" w:color="auto"/>
              <w:bottom w:val="single" w:sz="4" w:space="0" w:color="auto"/>
              <w:right w:val="single" w:sz="4" w:space="0" w:color="auto"/>
            </w:tcBorders>
            <w:vAlign w:val="center"/>
          </w:tcPr>
          <w:p w14:paraId="4A92FA9C" w14:textId="77777777" w:rsidR="00A454ED" w:rsidRPr="00A8737D" w:rsidRDefault="00A454ED" w:rsidP="00A454ED">
            <w:pPr>
              <w:tabs>
                <w:tab w:val="left" w:pos="1169"/>
              </w:tabs>
              <w:spacing w:after="0" w:line="240" w:lineRule="auto"/>
              <w:jc w:val="left"/>
              <w:rPr>
                <w:sz w:val="22"/>
              </w:rPr>
            </w:pPr>
            <w:r w:rsidRPr="00A8737D">
              <w:rPr>
                <w:sz w:val="22"/>
              </w:rPr>
              <w:t>Priorytet 6</w:t>
            </w:r>
          </w:p>
          <w:p w14:paraId="03A506AC" w14:textId="77777777" w:rsidR="00A454ED" w:rsidRPr="00A8737D" w:rsidRDefault="00A454ED" w:rsidP="00A454ED">
            <w:pPr>
              <w:tabs>
                <w:tab w:val="left" w:pos="1169"/>
              </w:tabs>
              <w:spacing w:after="0" w:line="240" w:lineRule="auto"/>
              <w:jc w:val="left"/>
              <w:rPr>
                <w:sz w:val="22"/>
              </w:rPr>
            </w:pPr>
            <w:r w:rsidRPr="00A8737D">
              <w:rPr>
                <w:sz w:val="22"/>
              </w:rPr>
              <w:t>Pomoc techniczna</w:t>
            </w:r>
          </w:p>
        </w:tc>
        <w:tc>
          <w:tcPr>
            <w:tcW w:w="761" w:type="dxa"/>
            <w:tcBorders>
              <w:top w:val="nil"/>
              <w:left w:val="single" w:sz="4" w:space="0" w:color="auto"/>
              <w:right w:val="nil"/>
            </w:tcBorders>
            <w:shd w:val="clear" w:color="auto" w:fill="auto"/>
            <w:vAlign w:val="center"/>
          </w:tcPr>
          <w:p w14:paraId="6CFD9959" w14:textId="0B5E2EFB" w:rsidR="00A454ED" w:rsidRPr="00E74C5A" w:rsidRDefault="00A454ED" w:rsidP="00A454ED">
            <w:pPr>
              <w:spacing w:after="0" w:line="240" w:lineRule="auto"/>
              <w:jc w:val="center"/>
              <w:rPr>
                <w:rFonts w:asciiTheme="majorHAnsi" w:hAnsiTheme="majorHAnsi" w:cstheme="majorHAnsi"/>
                <w:i/>
                <w:sz w:val="22"/>
              </w:rPr>
            </w:pPr>
            <w:r w:rsidRPr="00E74C5A">
              <w:rPr>
                <w:i/>
              </w:rPr>
              <w:t>1,8</w:t>
            </w:r>
          </w:p>
        </w:tc>
        <w:tc>
          <w:tcPr>
            <w:tcW w:w="761" w:type="dxa"/>
            <w:tcBorders>
              <w:top w:val="nil"/>
              <w:left w:val="nil"/>
              <w:right w:val="nil"/>
            </w:tcBorders>
            <w:shd w:val="clear" w:color="auto" w:fill="auto"/>
            <w:vAlign w:val="center"/>
          </w:tcPr>
          <w:p w14:paraId="57F0D342" w14:textId="3D9C7764" w:rsidR="00A454ED" w:rsidRPr="00E74C5A" w:rsidRDefault="00A454ED" w:rsidP="00A454ED">
            <w:pPr>
              <w:spacing w:after="0" w:line="240" w:lineRule="auto"/>
              <w:jc w:val="center"/>
              <w:rPr>
                <w:rFonts w:asciiTheme="majorHAnsi" w:hAnsiTheme="majorHAnsi" w:cstheme="majorHAnsi"/>
                <w:i/>
                <w:sz w:val="22"/>
              </w:rPr>
            </w:pPr>
            <w:r w:rsidRPr="00E74C5A">
              <w:rPr>
                <w:i/>
              </w:rPr>
              <w:t>1,8</w:t>
            </w:r>
          </w:p>
        </w:tc>
        <w:tc>
          <w:tcPr>
            <w:tcW w:w="761" w:type="dxa"/>
            <w:tcBorders>
              <w:top w:val="nil"/>
              <w:left w:val="nil"/>
              <w:right w:val="nil"/>
            </w:tcBorders>
            <w:shd w:val="clear" w:color="auto" w:fill="auto"/>
            <w:vAlign w:val="center"/>
          </w:tcPr>
          <w:p w14:paraId="4CE5626B" w14:textId="42A8704B" w:rsidR="00A454ED" w:rsidRPr="00E74C5A" w:rsidRDefault="00A454ED" w:rsidP="00A454ED">
            <w:pPr>
              <w:spacing w:after="0" w:line="240" w:lineRule="auto"/>
              <w:jc w:val="center"/>
              <w:rPr>
                <w:rFonts w:asciiTheme="majorHAnsi" w:hAnsiTheme="majorHAnsi" w:cstheme="majorHAnsi"/>
                <w:i/>
                <w:sz w:val="22"/>
              </w:rPr>
            </w:pPr>
            <w:r w:rsidRPr="00E74C5A">
              <w:rPr>
                <w:i/>
              </w:rPr>
              <w:t>1,8</w:t>
            </w:r>
          </w:p>
        </w:tc>
        <w:tc>
          <w:tcPr>
            <w:tcW w:w="762" w:type="dxa"/>
            <w:tcBorders>
              <w:top w:val="nil"/>
              <w:left w:val="nil"/>
              <w:right w:val="nil"/>
            </w:tcBorders>
            <w:shd w:val="clear" w:color="auto" w:fill="auto"/>
            <w:vAlign w:val="center"/>
          </w:tcPr>
          <w:p w14:paraId="16FD7BBD" w14:textId="47192971" w:rsidR="00A454ED" w:rsidRPr="00E74C5A" w:rsidRDefault="00A454ED" w:rsidP="00A454ED">
            <w:pPr>
              <w:spacing w:after="0" w:line="240" w:lineRule="auto"/>
              <w:jc w:val="center"/>
              <w:rPr>
                <w:rFonts w:asciiTheme="majorHAnsi" w:hAnsiTheme="majorHAnsi" w:cstheme="majorHAnsi"/>
                <w:i/>
                <w:sz w:val="22"/>
              </w:rPr>
            </w:pPr>
            <w:r w:rsidRPr="00E74C5A">
              <w:rPr>
                <w:i/>
              </w:rPr>
              <w:t>1,8</w:t>
            </w:r>
          </w:p>
        </w:tc>
        <w:tc>
          <w:tcPr>
            <w:tcW w:w="762" w:type="dxa"/>
            <w:tcBorders>
              <w:top w:val="nil"/>
              <w:left w:val="nil"/>
              <w:right w:val="nil"/>
            </w:tcBorders>
            <w:shd w:val="clear" w:color="auto" w:fill="auto"/>
            <w:vAlign w:val="center"/>
          </w:tcPr>
          <w:p w14:paraId="1580C579" w14:textId="5B9A6DD0" w:rsidR="00A454ED" w:rsidRPr="00E74C5A" w:rsidRDefault="00A454ED" w:rsidP="00A454ED">
            <w:pPr>
              <w:spacing w:after="0" w:line="240" w:lineRule="auto"/>
              <w:jc w:val="center"/>
              <w:rPr>
                <w:rFonts w:asciiTheme="majorHAnsi" w:hAnsiTheme="majorHAnsi" w:cstheme="majorHAnsi"/>
                <w:i/>
                <w:sz w:val="22"/>
              </w:rPr>
            </w:pPr>
            <w:r w:rsidRPr="00E74C5A">
              <w:rPr>
                <w:i/>
              </w:rPr>
              <w:t>1,8</w:t>
            </w:r>
          </w:p>
        </w:tc>
        <w:tc>
          <w:tcPr>
            <w:tcW w:w="762" w:type="dxa"/>
            <w:tcBorders>
              <w:top w:val="nil"/>
              <w:left w:val="nil"/>
              <w:right w:val="nil"/>
            </w:tcBorders>
            <w:shd w:val="clear" w:color="auto" w:fill="auto"/>
            <w:vAlign w:val="center"/>
          </w:tcPr>
          <w:p w14:paraId="08247533" w14:textId="459EDAEF" w:rsidR="00A454ED" w:rsidRPr="00E74C5A" w:rsidRDefault="00A454ED" w:rsidP="00A454ED">
            <w:pPr>
              <w:spacing w:after="0" w:line="240" w:lineRule="auto"/>
              <w:jc w:val="center"/>
              <w:rPr>
                <w:rFonts w:asciiTheme="majorHAnsi" w:hAnsiTheme="majorHAnsi" w:cstheme="majorHAnsi"/>
                <w:i/>
                <w:sz w:val="22"/>
              </w:rPr>
            </w:pPr>
            <w:r w:rsidRPr="00E74C5A">
              <w:rPr>
                <w:i/>
              </w:rPr>
              <w:t>1,8</w:t>
            </w:r>
          </w:p>
        </w:tc>
        <w:tc>
          <w:tcPr>
            <w:tcW w:w="761" w:type="dxa"/>
            <w:tcBorders>
              <w:top w:val="nil"/>
              <w:left w:val="nil"/>
              <w:right w:val="nil"/>
            </w:tcBorders>
            <w:shd w:val="clear" w:color="auto" w:fill="auto"/>
            <w:vAlign w:val="center"/>
          </w:tcPr>
          <w:p w14:paraId="79B0C884" w14:textId="4B1A3EAC" w:rsidR="00A454ED" w:rsidRPr="00E74C5A" w:rsidRDefault="00A454ED" w:rsidP="00A454ED">
            <w:pPr>
              <w:spacing w:after="0" w:line="240" w:lineRule="auto"/>
              <w:jc w:val="center"/>
              <w:rPr>
                <w:rFonts w:asciiTheme="majorHAnsi" w:hAnsiTheme="majorHAnsi" w:cstheme="majorHAnsi"/>
                <w:i/>
                <w:sz w:val="22"/>
              </w:rPr>
            </w:pPr>
            <w:r w:rsidRPr="00E74C5A">
              <w:rPr>
                <w:i/>
              </w:rPr>
              <w:t>1,8</w:t>
            </w:r>
          </w:p>
        </w:tc>
        <w:tc>
          <w:tcPr>
            <w:tcW w:w="761" w:type="dxa"/>
            <w:tcBorders>
              <w:top w:val="nil"/>
              <w:left w:val="nil"/>
              <w:right w:val="nil"/>
            </w:tcBorders>
            <w:shd w:val="clear" w:color="auto" w:fill="auto"/>
            <w:vAlign w:val="center"/>
          </w:tcPr>
          <w:p w14:paraId="0E09697D" w14:textId="4D4D8F4E" w:rsidR="00A454ED" w:rsidRPr="00E74C5A" w:rsidRDefault="00A454ED" w:rsidP="00A454ED">
            <w:pPr>
              <w:spacing w:after="0" w:line="240" w:lineRule="auto"/>
              <w:jc w:val="center"/>
              <w:rPr>
                <w:rFonts w:asciiTheme="majorHAnsi" w:hAnsiTheme="majorHAnsi" w:cstheme="majorHAnsi"/>
                <w:i/>
                <w:sz w:val="22"/>
              </w:rPr>
            </w:pPr>
            <w:r w:rsidRPr="00E74C5A">
              <w:rPr>
                <w:i/>
              </w:rPr>
              <w:t>1,8</w:t>
            </w:r>
          </w:p>
        </w:tc>
        <w:tc>
          <w:tcPr>
            <w:tcW w:w="761" w:type="dxa"/>
            <w:tcBorders>
              <w:top w:val="nil"/>
              <w:left w:val="nil"/>
              <w:right w:val="nil"/>
            </w:tcBorders>
            <w:shd w:val="clear" w:color="auto" w:fill="auto"/>
            <w:vAlign w:val="center"/>
          </w:tcPr>
          <w:p w14:paraId="1A20ABDE" w14:textId="40281408" w:rsidR="00A454ED" w:rsidRPr="00E74C5A" w:rsidRDefault="00A454ED" w:rsidP="00A454ED">
            <w:pPr>
              <w:spacing w:after="0" w:line="240" w:lineRule="auto"/>
              <w:jc w:val="center"/>
              <w:rPr>
                <w:rFonts w:asciiTheme="majorHAnsi" w:hAnsiTheme="majorHAnsi" w:cstheme="majorHAnsi"/>
                <w:i/>
                <w:sz w:val="22"/>
              </w:rPr>
            </w:pPr>
            <w:r w:rsidRPr="00E74C5A">
              <w:rPr>
                <w:i/>
              </w:rPr>
              <w:t>1,8</w:t>
            </w:r>
          </w:p>
        </w:tc>
        <w:tc>
          <w:tcPr>
            <w:tcW w:w="761" w:type="dxa"/>
            <w:tcBorders>
              <w:top w:val="nil"/>
              <w:left w:val="nil"/>
              <w:right w:val="nil"/>
            </w:tcBorders>
            <w:shd w:val="clear" w:color="auto" w:fill="auto"/>
            <w:vAlign w:val="center"/>
          </w:tcPr>
          <w:p w14:paraId="726E13C0" w14:textId="68CE6F78" w:rsidR="00A454ED" w:rsidRPr="00E74C5A" w:rsidRDefault="00A454ED" w:rsidP="00A454ED">
            <w:pPr>
              <w:spacing w:after="0" w:line="240" w:lineRule="auto"/>
              <w:jc w:val="center"/>
              <w:rPr>
                <w:rFonts w:asciiTheme="majorHAnsi" w:hAnsiTheme="majorHAnsi" w:cstheme="majorHAnsi"/>
                <w:i/>
                <w:sz w:val="22"/>
              </w:rPr>
            </w:pPr>
            <w:r w:rsidRPr="00E74C5A">
              <w:rPr>
                <w:i/>
              </w:rPr>
              <w:t>1,8</w:t>
            </w:r>
          </w:p>
        </w:tc>
        <w:tc>
          <w:tcPr>
            <w:tcW w:w="761" w:type="dxa"/>
            <w:tcBorders>
              <w:top w:val="nil"/>
              <w:left w:val="nil"/>
              <w:right w:val="nil"/>
            </w:tcBorders>
            <w:shd w:val="clear" w:color="auto" w:fill="auto"/>
            <w:vAlign w:val="center"/>
          </w:tcPr>
          <w:p w14:paraId="03F89E1F" w14:textId="0E24A2E9" w:rsidR="00A454ED" w:rsidRPr="00E74C5A" w:rsidRDefault="00A454ED" w:rsidP="00A454ED">
            <w:pPr>
              <w:spacing w:after="0" w:line="240" w:lineRule="auto"/>
              <w:jc w:val="center"/>
              <w:rPr>
                <w:rFonts w:asciiTheme="majorHAnsi" w:hAnsiTheme="majorHAnsi" w:cstheme="majorHAnsi"/>
                <w:i/>
                <w:sz w:val="22"/>
              </w:rPr>
            </w:pPr>
            <w:r w:rsidRPr="00E74C5A">
              <w:rPr>
                <w:i/>
              </w:rPr>
              <w:t>1,8</w:t>
            </w:r>
          </w:p>
        </w:tc>
        <w:tc>
          <w:tcPr>
            <w:tcW w:w="761" w:type="dxa"/>
            <w:tcBorders>
              <w:top w:val="nil"/>
              <w:left w:val="nil"/>
              <w:right w:val="nil"/>
            </w:tcBorders>
            <w:shd w:val="clear" w:color="auto" w:fill="auto"/>
            <w:vAlign w:val="center"/>
          </w:tcPr>
          <w:p w14:paraId="73D6B7FE" w14:textId="1209851C" w:rsidR="00A454ED" w:rsidRPr="00E74C5A" w:rsidRDefault="00A454ED" w:rsidP="00A454ED">
            <w:pPr>
              <w:spacing w:after="0" w:line="240" w:lineRule="auto"/>
              <w:jc w:val="center"/>
              <w:rPr>
                <w:rFonts w:asciiTheme="majorHAnsi" w:hAnsiTheme="majorHAnsi" w:cstheme="majorHAnsi"/>
                <w:i/>
                <w:sz w:val="22"/>
              </w:rPr>
            </w:pPr>
            <w:r w:rsidRPr="00E74C5A">
              <w:rPr>
                <w:i/>
              </w:rPr>
              <w:t>1,8</w:t>
            </w:r>
          </w:p>
        </w:tc>
        <w:tc>
          <w:tcPr>
            <w:tcW w:w="761" w:type="dxa"/>
            <w:tcBorders>
              <w:top w:val="nil"/>
              <w:left w:val="nil"/>
              <w:right w:val="nil"/>
            </w:tcBorders>
            <w:shd w:val="clear" w:color="auto" w:fill="auto"/>
            <w:vAlign w:val="center"/>
          </w:tcPr>
          <w:p w14:paraId="0F5D75FA" w14:textId="5CEE9B9D" w:rsidR="00A454ED" w:rsidRPr="00E74C5A" w:rsidRDefault="00A454ED" w:rsidP="00A454ED">
            <w:pPr>
              <w:spacing w:after="0" w:line="240" w:lineRule="auto"/>
              <w:jc w:val="center"/>
              <w:rPr>
                <w:rFonts w:asciiTheme="majorHAnsi" w:hAnsiTheme="majorHAnsi" w:cstheme="majorHAnsi"/>
                <w:i/>
                <w:sz w:val="22"/>
              </w:rPr>
            </w:pPr>
            <w:r w:rsidRPr="00E74C5A">
              <w:rPr>
                <w:i/>
              </w:rPr>
              <w:t>1,8</w:t>
            </w:r>
          </w:p>
        </w:tc>
      </w:tr>
      <w:tr w:rsidR="00A454ED" w:rsidRPr="00F8182C" w14:paraId="4C336857" w14:textId="77777777" w:rsidTr="00A454ED">
        <w:trPr>
          <w:gridAfter w:val="1"/>
          <w:wAfter w:w="2122" w:type="dxa"/>
          <w:trHeight w:val="567"/>
        </w:trPr>
        <w:tc>
          <w:tcPr>
            <w:tcW w:w="4251" w:type="dxa"/>
            <w:tcBorders>
              <w:top w:val="single" w:sz="4" w:space="0" w:color="auto"/>
            </w:tcBorders>
            <w:vAlign w:val="center"/>
          </w:tcPr>
          <w:p w14:paraId="47556B0B" w14:textId="77777777" w:rsidR="00A454ED" w:rsidRPr="00F8182C" w:rsidRDefault="00A454ED" w:rsidP="00A454ED">
            <w:pPr>
              <w:spacing w:after="0" w:line="240" w:lineRule="auto"/>
              <w:jc w:val="center"/>
              <w:rPr>
                <w:sz w:val="22"/>
              </w:rPr>
            </w:pPr>
          </w:p>
        </w:tc>
        <w:tc>
          <w:tcPr>
            <w:tcW w:w="761" w:type="dxa"/>
            <w:tcBorders>
              <w:left w:val="nil"/>
              <w:bottom w:val="nil"/>
              <w:right w:val="nil"/>
            </w:tcBorders>
            <w:shd w:val="clear" w:color="auto" w:fill="auto"/>
            <w:vAlign w:val="center"/>
          </w:tcPr>
          <w:p w14:paraId="32F85ACA" w14:textId="2631CA98" w:rsidR="00A454ED" w:rsidRPr="00372D3F" w:rsidRDefault="00A454ED" w:rsidP="00A454ED">
            <w:pPr>
              <w:spacing w:after="0" w:line="240" w:lineRule="auto"/>
              <w:jc w:val="center"/>
              <w:rPr>
                <w:rFonts w:asciiTheme="majorHAnsi" w:hAnsiTheme="majorHAnsi" w:cstheme="majorHAnsi"/>
                <w:sz w:val="22"/>
              </w:rPr>
            </w:pPr>
            <w:r w:rsidRPr="005A1CE1">
              <w:t>45</w:t>
            </w:r>
          </w:p>
        </w:tc>
        <w:tc>
          <w:tcPr>
            <w:tcW w:w="761" w:type="dxa"/>
            <w:tcBorders>
              <w:left w:val="nil"/>
              <w:bottom w:val="nil"/>
              <w:right w:val="nil"/>
            </w:tcBorders>
            <w:shd w:val="clear" w:color="auto" w:fill="auto"/>
            <w:vAlign w:val="center"/>
          </w:tcPr>
          <w:p w14:paraId="7CBFD065" w14:textId="3584EF1B" w:rsidR="00A454ED" w:rsidRPr="00372D3F" w:rsidRDefault="00A454ED" w:rsidP="00A454ED">
            <w:pPr>
              <w:spacing w:after="0" w:line="240" w:lineRule="auto"/>
              <w:jc w:val="center"/>
              <w:rPr>
                <w:rFonts w:asciiTheme="majorHAnsi" w:hAnsiTheme="majorHAnsi" w:cstheme="majorHAnsi"/>
                <w:sz w:val="22"/>
              </w:rPr>
            </w:pPr>
            <w:r w:rsidRPr="005A1CE1">
              <w:t>45</w:t>
            </w:r>
          </w:p>
        </w:tc>
        <w:tc>
          <w:tcPr>
            <w:tcW w:w="761" w:type="dxa"/>
            <w:tcBorders>
              <w:left w:val="nil"/>
              <w:bottom w:val="nil"/>
              <w:right w:val="nil"/>
            </w:tcBorders>
            <w:shd w:val="clear" w:color="auto" w:fill="auto"/>
            <w:vAlign w:val="center"/>
          </w:tcPr>
          <w:p w14:paraId="65AAAACD" w14:textId="6BE317F1" w:rsidR="00A454ED" w:rsidRPr="00372D3F" w:rsidRDefault="00A454ED" w:rsidP="00A454ED">
            <w:pPr>
              <w:spacing w:after="0" w:line="240" w:lineRule="auto"/>
              <w:jc w:val="center"/>
              <w:rPr>
                <w:rFonts w:asciiTheme="majorHAnsi" w:hAnsiTheme="majorHAnsi" w:cstheme="majorHAnsi"/>
                <w:sz w:val="22"/>
              </w:rPr>
            </w:pPr>
            <w:r w:rsidRPr="005A1CE1">
              <w:t>45</w:t>
            </w:r>
          </w:p>
        </w:tc>
        <w:tc>
          <w:tcPr>
            <w:tcW w:w="762" w:type="dxa"/>
            <w:tcBorders>
              <w:left w:val="nil"/>
              <w:bottom w:val="nil"/>
              <w:right w:val="nil"/>
            </w:tcBorders>
            <w:shd w:val="clear" w:color="auto" w:fill="auto"/>
            <w:vAlign w:val="center"/>
          </w:tcPr>
          <w:p w14:paraId="5F675AE7" w14:textId="4A3BB105" w:rsidR="00A454ED" w:rsidRPr="00372D3F" w:rsidRDefault="00A454ED" w:rsidP="00A454ED">
            <w:pPr>
              <w:spacing w:after="0" w:line="240" w:lineRule="auto"/>
              <w:jc w:val="center"/>
              <w:rPr>
                <w:rFonts w:asciiTheme="majorHAnsi" w:hAnsiTheme="majorHAnsi" w:cstheme="majorHAnsi"/>
                <w:sz w:val="22"/>
              </w:rPr>
            </w:pPr>
            <w:r w:rsidRPr="005A1CE1">
              <w:t>45</w:t>
            </w:r>
          </w:p>
        </w:tc>
        <w:tc>
          <w:tcPr>
            <w:tcW w:w="762" w:type="dxa"/>
            <w:tcBorders>
              <w:left w:val="nil"/>
              <w:bottom w:val="nil"/>
              <w:right w:val="nil"/>
            </w:tcBorders>
            <w:shd w:val="clear" w:color="auto" w:fill="auto"/>
            <w:vAlign w:val="center"/>
          </w:tcPr>
          <w:p w14:paraId="1B17475B" w14:textId="5BC815AE" w:rsidR="00A454ED" w:rsidRPr="00372D3F" w:rsidRDefault="00A454ED" w:rsidP="00A454ED">
            <w:pPr>
              <w:spacing w:after="0" w:line="240" w:lineRule="auto"/>
              <w:jc w:val="center"/>
              <w:rPr>
                <w:rFonts w:asciiTheme="majorHAnsi" w:hAnsiTheme="majorHAnsi" w:cstheme="majorHAnsi"/>
                <w:sz w:val="22"/>
              </w:rPr>
            </w:pPr>
            <w:r w:rsidRPr="005A1CE1">
              <w:t>45</w:t>
            </w:r>
          </w:p>
        </w:tc>
        <w:tc>
          <w:tcPr>
            <w:tcW w:w="762" w:type="dxa"/>
            <w:tcBorders>
              <w:left w:val="nil"/>
              <w:bottom w:val="nil"/>
              <w:right w:val="nil"/>
            </w:tcBorders>
            <w:shd w:val="clear" w:color="auto" w:fill="auto"/>
            <w:vAlign w:val="center"/>
          </w:tcPr>
          <w:p w14:paraId="67193610" w14:textId="35EE2CDF" w:rsidR="00A454ED" w:rsidRPr="00372D3F" w:rsidRDefault="00A454ED" w:rsidP="00A454ED">
            <w:pPr>
              <w:spacing w:after="0" w:line="240" w:lineRule="auto"/>
              <w:jc w:val="center"/>
              <w:rPr>
                <w:rFonts w:asciiTheme="majorHAnsi" w:hAnsiTheme="majorHAnsi" w:cstheme="majorHAnsi"/>
                <w:sz w:val="22"/>
              </w:rPr>
            </w:pPr>
            <w:r w:rsidRPr="005A1CE1">
              <w:t>45</w:t>
            </w:r>
          </w:p>
        </w:tc>
        <w:tc>
          <w:tcPr>
            <w:tcW w:w="761" w:type="dxa"/>
            <w:tcBorders>
              <w:left w:val="nil"/>
              <w:bottom w:val="nil"/>
              <w:right w:val="nil"/>
            </w:tcBorders>
            <w:shd w:val="clear" w:color="auto" w:fill="auto"/>
            <w:vAlign w:val="center"/>
          </w:tcPr>
          <w:p w14:paraId="4D3BF301" w14:textId="5C93713A" w:rsidR="00A454ED" w:rsidRPr="00372D3F" w:rsidRDefault="00A454ED" w:rsidP="00A454ED">
            <w:pPr>
              <w:spacing w:after="0" w:line="240" w:lineRule="auto"/>
              <w:jc w:val="center"/>
              <w:rPr>
                <w:rFonts w:asciiTheme="majorHAnsi" w:hAnsiTheme="majorHAnsi" w:cstheme="majorHAnsi"/>
                <w:sz w:val="22"/>
              </w:rPr>
            </w:pPr>
            <w:r w:rsidRPr="005A1CE1">
              <w:t>45</w:t>
            </w:r>
          </w:p>
        </w:tc>
        <w:tc>
          <w:tcPr>
            <w:tcW w:w="761" w:type="dxa"/>
            <w:tcBorders>
              <w:left w:val="nil"/>
              <w:bottom w:val="nil"/>
              <w:right w:val="nil"/>
            </w:tcBorders>
            <w:shd w:val="clear" w:color="auto" w:fill="auto"/>
            <w:vAlign w:val="center"/>
          </w:tcPr>
          <w:p w14:paraId="0FE65C7C" w14:textId="7F87021A" w:rsidR="00A454ED" w:rsidRPr="00372D3F" w:rsidRDefault="00A454ED" w:rsidP="00A454ED">
            <w:pPr>
              <w:spacing w:after="0" w:line="240" w:lineRule="auto"/>
              <w:jc w:val="center"/>
              <w:rPr>
                <w:rFonts w:asciiTheme="majorHAnsi" w:hAnsiTheme="majorHAnsi" w:cstheme="majorHAnsi"/>
                <w:sz w:val="22"/>
              </w:rPr>
            </w:pPr>
            <w:r w:rsidRPr="005A1CE1">
              <w:t>45</w:t>
            </w:r>
          </w:p>
        </w:tc>
        <w:tc>
          <w:tcPr>
            <w:tcW w:w="761" w:type="dxa"/>
            <w:tcBorders>
              <w:left w:val="nil"/>
              <w:bottom w:val="nil"/>
              <w:right w:val="nil"/>
            </w:tcBorders>
            <w:shd w:val="clear" w:color="auto" w:fill="auto"/>
            <w:vAlign w:val="center"/>
          </w:tcPr>
          <w:p w14:paraId="1376C2D6" w14:textId="3FE39C7B" w:rsidR="00A454ED" w:rsidRPr="00372D3F" w:rsidRDefault="00A454ED" w:rsidP="00A454ED">
            <w:pPr>
              <w:spacing w:after="0" w:line="240" w:lineRule="auto"/>
              <w:jc w:val="center"/>
              <w:rPr>
                <w:rFonts w:asciiTheme="majorHAnsi" w:hAnsiTheme="majorHAnsi" w:cstheme="majorHAnsi"/>
                <w:sz w:val="22"/>
              </w:rPr>
            </w:pPr>
            <w:r w:rsidRPr="005A1CE1">
              <w:t>45</w:t>
            </w:r>
          </w:p>
        </w:tc>
        <w:tc>
          <w:tcPr>
            <w:tcW w:w="761" w:type="dxa"/>
            <w:tcBorders>
              <w:left w:val="nil"/>
              <w:bottom w:val="nil"/>
              <w:right w:val="nil"/>
            </w:tcBorders>
            <w:shd w:val="clear" w:color="auto" w:fill="auto"/>
            <w:vAlign w:val="center"/>
          </w:tcPr>
          <w:p w14:paraId="4E1D51A6" w14:textId="30B0DA21" w:rsidR="00A454ED" w:rsidRPr="00372D3F" w:rsidRDefault="00A454ED" w:rsidP="00A454ED">
            <w:pPr>
              <w:spacing w:after="0" w:line="240" w:lineRule="auto"/>
              <w:jc w:val="center"/>
              <w:rPr>
                <w:rFonts w:asciiTheme="majorHAnsi" w:hAnsiTheme="majorHAnsi" w:cstheme="majorHAnsi"/>
                <w:sz w:val="22"/>
              </w:rPr>
            </w:pPr>
            <w:r w:rsidRPr="005A1CE1">
              <w:t>45</w:t>
            </w:r>
          </w:p>
        </w:tc>
        <w:tc>
          <w:tcPr>
            <w:tcW w:w="761" w:type="dxa"/>
            <w:tcBorders>
              <w:left w:val="nil"/>
              <w:bottom w:val="nil"/>
              <w:right w:val="nil"/>
            </w:tcBorders>
            <w:shd w:val="clear" w:color="auto" w:fill="auto"/>
            <w:vAlign w:val="center"/>
          </w:tcPr>
          <w:p w14:paraId="55D23933" w14:textId="071C797C" w:rsidR="00A454ED" w:rsidRPr="00372D3F" w:rsidRDefault="00A454ED" w:rsidP="00A454ED">
            <w:pPr>
              <w:spacing w:after="0" w:line="240" w:lineRule="auto"/>
              <w:jc w:val="center"/>
              <w:rPr>
                <w:rFonts w:asciiTheme="majorHAnsi" w:hAnsiTheme="majorHAnsi" w:cstheme="majorHAnsi"/>
                <w:sz w:val="22"/>
              </w:rPr>
            </w:pPr>
            <w:r w:rsidRPr="005A1CE1">
              <w:t>45</w:t>
            </w:r>
          </w:p>
        </w:tc>
        <w:tc>
          <w:tcPr>
            <w:tcW w:w="761" w:type="dxa"/>
            <w:tcBorders>
              <w:left w:val="nil"/>
              <w:bottom w:val="nil"/>
              <w:right w:val="nil"/>
            </w:tcBorders>
            <w:shd w:val="clear" w:color="auto" w:fill="auto"/>
            <w:vAlign w:val="center"/>
          </w:tcPr>
          <w:p w14:paraId="7CE948F1" w14:textId="7AE6DA78" w:rsidR="00A454ED" w:rsidRPr="00372D3F" w:rsidRDefault="00A454ED" w:rsidP="00A454ED">
            <w:pPr>
              <w:spacing w:after="0" w:line="240" w:lineRule="auto"/>
              <w:jc w:val="center"/>
              <w:rPr>
                <w:rFonts w:asciiTheme="majorHAnsi" w:hAnsiTheme="majorHAnsi" w:cstheme="majorHAnsi"/>
                <w:sz w:val="22"/>
              </w:rPr>
            </w:pPr>
            <w:r w:rsidRPr="005A1CE1">
              <w:t>45</w:t>
            </w:r>
          </w:p>
        </w:tc>
        <w:tc>
          <w:tcPr>
            <w:tcW w:w="761" w:type="dxa"/>
            <w:tcBorders>
              <w:left w:val="nil"/>
              <w:bottom w:val="nil"/>
              <w:right w:val="nil"/>
            </w:tcBorders>
            <w:shd w:val="clear" w:color="auto" w:fill="auto"/>
            <w:vAlign w:val="center"/>
          </w:tcPr>
          <w:p w14:paraId="1CA04994" w14:textId="242F2DDB" w:rsidR="00A454ED" w:rsidRPr="00372D3F" w:rsidRDefault="00A454ED" w:rsidP="00A454ED">
            <w:pPr>
              <w:spacing w:after="0" w:line="240" w:lineRule="auto"/>
              <w:jc w:val="center"/>
              <w:rPr>
                <w:rFonts w:asciiTheme="majorHAnsi" w:hAnsiTheme="majorHAnsi" w:cstheme="majorHAnsi"/>
                <w:sz w:val="22"/>
              </w:rPr>
            </w:pPr>
            <w:r w:rsidRPr="005A1CE1">
              <w:t>45</w:t>
            </w:r>
          </w:p>
        </w:tc>
      </w:tr>
    </w:tbl>
    <w:p w14:paraId="08B52A5E" w14:textId="77777777" w:rsidR="00515170" w:rsidRPr="00A454ED" w:rsidRDefault="00515170" w:rsidP="00A454ED">
      <w:pPr>
        <w:spacing w:after="0" w:line="240" w:lineRule="auto"/>
        <w:rPr>
          <w:sz w:val="10"/>
        </w:rPr>
      </w:pPr>
    </w:p>
    <w:sectPr w:rsidR="00515170" w:rsidRPr="00A454ED" w:rsidSect="00372D3F">
      <w:pgSz w:w="16838" w:h="11906" w:orient="landscape"/>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E7690" w14:textId="77777777" w:rsidR="00876468" w:rsidRDefault="00876468" w:rsidP="00490ABA">
      <w:pPr>
        <w:spacing w:after="0" w:line="240" w:lineRule="auto"/>
      </w:pPr>
      <w:r>
        <w:separator/>
      </w:r>
    </w:p>
  </w:endnote>
  <w:endnote w:type="continuationSeparator" w:id="0">
    <w:p w14:paraId="00DCAA5F" w14:textId="77777777" w:rsidR="00876468" w:rsidRDefault="00876468" w:rsidP="00490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537097"/>
      <w:docPartObj>
        <w:docPartGallery w:val="Page Numbers (Bottom of Page)"/>
        <w:docPartUnique/>
      </w:docPartObj>
    </w:sdtPr>
    <w:sdtEndPr>
      <w:rPr>
        <w:sz w:val="22"/>
      </w:rPr>
    </w:sdtEndPr>
    <w:sdtContent>
      <w:p w14:paraId="18BE77FA" w14:textId="59C00C16" w:rsidR="00814873" w:rsidRPr="00AB0A78" w:rsidRDefault="00814873" w:rsidP="00AB0A78">
        <w:pPr>
          <w:pStyle w:val="Stopka"/>
          <w:jc w:val="center"/>
          <w:rPr>
            <w:sz w:val="22"/>
          </w:rPr>
        </w:pPr>
        <w:r w:rsidRPr="00AB0A78">
          <w:rPr>
            <w:sz w:val="22"/>
          </w:rPr>
          <w:t xml:space="preserve"> – </w:t>
        </w:r>
        <w:r w:rsidRPr="00AB0A78">
          <w:rPr>
            <w:sz w:val="22"/>
          </w:rPr>
          <w:fldChar w:fldCharType="begin"/>
        </w:r>
        <w:r w:rsidRPr="00AB0A78">
          <w:rPr>
            <w:sz w:val="22"/>
          </w:rPr>
          <w:instrText>PAGE   \* MERGEFORMAT</w:instrText>
        </w:r>
        <w:r w:rsidRPr="00AB0A78">
          <w:rPr>
            <w:sz w:val="22"/>
          </w:rPr>
          <w:fldChar w:fldCharType="separate"/>
        </w:r>
        <w:r w:rsidR="00077D5A">
          <w:rPr>
            <w:noProof/>
            <w:sz w:val="22"/>
          </w:rPr>
          <w:t>67</w:t>
        </w:r>
        <w:r w:rsidRPr="00AB0A78">
          <w:rPr>
            <w:sz w:val="22"/>
          </w:rPr>
          <w:fldChar w:fldCharType="end"/>
        </w:r>
        <w:r w:rsidRPr="00AB0A78">
          <w:rPr>
            <w:sz w:val="22"/>
          </w:rPr>
          <w:t xml:space="preserve"> –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36634" w14:textId="77777777" w:rsidR="00876468" w:rsidRDefault="00876468" w:rsidP="00490ABA">
      <w:pPr>
        <w:spacing w:after="0" w:line="240" w:lineRule="auto"/>
      </w:pPr>
      <w:r>
        <w:separator/>
      </w:r>
    </w:p>
  </w:footnote>
  <w:footnote w:type="continuationSeparator" w:id="0">
    <w:p w14:paraId="760E12AC" w14:textId="77777777" w:rsidR="00876468" w:rsidRDefault="00876468" w:rsidP="00490ABA">
      <w:pPr>
        <w:spacing w:after="0" w:line="240" w:lineRule="auto"/>
      </w:pPr>
      <w:r>
        <w:continuationSeparator/>
      </w:r>
    </w:p>
  </w:footnote>
  <w:footnote w:id="1">
    <w:p w14:paraId="244320DE" w14:textId="3E320DD6" w:rsidR="00814873" w:rsidRPr="000A61AF" w:rsidRDefault="00814873" w:rsidP="00490ABA">
      <w:pPr>
        <w:pStyle w:val="Tekstprzypisudolnego"/>
        <w:rPr>
          <w:i/>
        </w:rPr>
      </w:pPr>
      <w:r>
        <w:rPr>
          <w:rStyle w:val="Odwoanieprzypisudolnego"/>
        </w:rPr>
        <w:footnoteRef/>
      </w:r>
      <w:r>
        <w:t xml:space="preserve"> Za podstawowe źródła danych przedstawiających mechanizmy oraz zjawiska barier i problemów w działalności </w:t>
      </w:r>
      <w:r>
        <w:br/>
        <w:t xml:space="preserve">i rozwoju organizacji pozarządowych przyjęte zostały w prezentowanej analizie dane z raportu Głównego Urzędu Statystycznego pochodzące z badań przeprowadzonych w 2014 roku i opublikowane w dokumencie </w:t>
      </w:r>
      <w:r w:rsidRPr="000A61AF">
        <w:rPr>
          <w:i/>
        </w:rPr>
        <w:t>Sektor non-profit w 2014 r, Warszawa 2016</w:t>
      </w:r>
      <w:r>
        <w:t xml:space="preserve"> oraz dane z raportu </w:t>
      </w:r>
      <w:r w:rsidRPr="000A61AF">
        <w:rPr>
          <w:i/>
        </w:rPr>
        <w:t>Kondycja sektora organizacji pozarządowych w Polsce 2015, Warszawa 2016</w:t>
      </w:r>
      <w:r>
        <w:rPr>
          <w:i/>
        </w:rPr>
        <w:t xml:space="preserve">, </w:t>
      </w:r>
      <w:r w:rsidRPr="00371AE8">
        <w:t>opracowanego przez Stowarzyszenie KLON/JAWOR</w:t>
      </w:r>
      <w:r>
        <w:t>. W zakresie analiz porównawczych wykorzystane zostały wyniki analogicznych badań prowadzonych przez oba podmioty w latach wcześniejszych.</w:t>
      </w:r>
    </w:p>
  </w:footnote>
  <w:footnote w:id="2">
    <w:p w14:paraId="3E50AC81" w14:textId="47AC9B6C" w:rsidR="00814873" w:rsidRDefault="00814873" w:rsidP="00490ABA">
      <w:pPr>
        <w:pStyle w:val="Tekstprzypisudolnego"/>
      </w:pPr>
      <w:r>
        <w:rPr>
          <w:rStyle w:val="Odwoanieprzypisudolnego"/>
        </w:rPr>
        <w:footnoteRef/>
      </w:r>
      <w:r>
        <w:t xml:space="preserve"> </w:t>
      </w:r>
      <w:r w:rsidRPr="00C04584">
        <w:t>Według GUS liczba aktywnych organizacji tzw. trzeciego sektora wzrosła z 27,4 tys. w 1997 r. do 67,5 tys. W 2005 r., 80,4 tys. w 2010 r., 83,5 tys. w 2012 r. i 100,7 tys. w 2014 r. Dynamika przyrostu liczby organizacji nie jest jednolita, ale jest zachowana stała tendencja wzrostowa, obserwowana do roku 2005, po czym odnotowano spowolnienie w latach 2005 – 2012, by znów od roku 2012 zauważyć wzrost do poziomu kilku procent w skali rocznej. W prowadzonym przez GUS rejestrze REGON liczba stowarzyszeń i organizacji społecznych zwiększyła się z 96,8 tys. na początku 2012 r. do 110,6 tys. w połowie 2015 r.</w:t>
      </w:r>
    </w:p>
  </w:footnote>
  <w:footnote w:id="3">
    <w:p w14:paraId="37F6B21F" w14:textId="77777777" w:rsidR="00814873" w:rsidRDefault="00814873" w:rsidP="00490ABA">
      <w:pPr>
        <w:pStyle w:val="Tekstprzypisudolnego"/>
      </w:pPr>
      <w:r>
        <w:rPr>
          <w:rStyle w:val="Odwoanieprzypisudolnego"/>
        </w:rPr>
        <w:footnoteRef/>
      </w:r>
      <w:r>
        <w:t xml:space="preserve"> </w:t>
      </w:r>
      <w:r w:rsidRPr="00ED6F1D">
        <w:t>Kondycja sektora organizacji pozarządowych w Polsce 2015. Raport z badań, KLON/JAWOR 2016</w:t>
      </w:r>
      <w:r>
        <w:t>, s. 63</w:t>
      </w:r>
    </w:p>
  </w:footnote>
  <w:footnote w:id="4">
    <w:p w14:paraId="0E1C2043" w14:textId="77777777" w:rsidR="00814873" w:rsidRDefault="00814873" w:rsidP="00490ABA">
      <w:pPr>
        <w:pStyle w:val="Tekstprzypisudolnego"/>
      </w:pPr>
      <w:r>
        <w:rPr>
          <w:rStyle w:val="Odwoanieprzypisudolnego"/>
        </w:rPr>
        <w:footnoteRef/>
      </w:r>
      <w:r>
        <w:t xml:space="preserve"> </w:t>
      </w:r>
      <w:r w:rsidRPr="00E71495">
        <w:t>Sektor non-profit w 2014 r., GUS 2016</w:t>
      </w:r>
      <w:r>
        <w:t>, s. 82</w:t>
      </w:r>
    </w:p>
  </w:footnote>
  <w:footnote w:id="5">
    <w:p w14:paraId="680E6B60" w14:textId="4111D537" w:rsidR="00814873" w:rsidRDefault="00814873" w:rsidP="00490ABA">
      <w:pPr>
        <w:pStyle w:val="Tekstprzypisudolnego"/>
      </w:pPr>
      <w:r>
        <w:rPr>
          <w:rStyle w:val="Odwoanieprzypisudolnego"/>
        </w:rPr>
        <w:footnoteRef/>
      </w:r>
      <w:r>
        <w:t xml:space="preserve"> Współczynnik </w:t>
      </w:r>
      <w:proofErr w:type="spellStart"/>
      <w:r>
        <w:t>Giniego</w:t>
      </w:r>
      <w:proofErr w:type="spellEnd"/>
      <w:r>
        <w:t xml:space="preserve"> jest miarą pokazującą stopień koncentracji danej cechy (np. przychodów) w określonej zbiorowości. Miara ta przyjmuje wartość od 0 do 1. Wynik 0 oznacza całkowity brak koncentracji, natomiast </w:t>
      </w:r>
      <w:r>
        <w:br/>
        <w:t>1 oznacza koncentrację całkowitą, czyli sytuację, w której jedna jednostka jest w posiadaniu całej sumy danej cechy.</w:t>
      </w:r>
    </w:p>
  </w:footnote>
  <w:footnote w:id="6">
    <w:p w14:paraId="0C3A3531" w14:textId="77777777" w:rsidR="00814873" w:rsidRDefault="00814873" w:rsidP="00490ABA">
      <w:pPr>
        <w:pStyle w:val="Tekstprzypisudolnego"/>
      </w:pPr>
      <w:r>
        <w:rPr>
          <w:rStyle w:val="Odwoanieprzypisudolnego"/>
        </w:rPr>
        <w:footnoteRef/>
      </w:r>
      <w:r>
        <w:t xml:space="preserve"> </w:t>
      </w:r>
      <w:r w:rsidRPr="00D4087F">
        <w:t>Sektor non-p</w:t>
      </w:r>
      <w:r>
        <w:t>rofit w 2014 r., GUS 2016, s. 244</w:t>
      </w:r>
    </w:p>
  </w:footnote>
  <w:footnote w:id="7">
    <w:p w14:paraId="3017612F" w14:textId="77777777" w:rsidR="00814873" w:rsidRDefault="00814873" w:rsidP="00490ABA">
      <w:pPr>
        <w:pStyle w:val="Tekstprzypisudolnego"/>
      </w:pPr>
      <w:r>
        <w:rPr>
          <w:rStyle w:val="Odwoanieprzypisudolnego"/>
        </w:rPr>
        <w:footnoteRef/>
      </w:r>
      <w:r>
        <w:t xml:space="preserve"> Termin „członkostwo” odnosi się do łącznej liczby pozycji na listach członków w poszczególnych organizacjach, </w:t>
      </w:r>
      <w:r>
        <w:br/>
        <w:t>a więc poszczególna osoba może był brana pod uwagę wielokrotnie, jeśli należy do więcej niż jednej organizacji.</w:t>
      </w:r>
    </w:p>
  </w:footnote>
  <w:footnote w:id="8">
    <w:p w14:paraId="0BF80D63" w14:textId="77777777" w:rsidR="00814873" w:rsidRDefault="00814873" w:rsidP="00490ABA">
      <w:pPr>
        <w:pStyle w:val="Tekstprzypisudolnego"/>
      </w:pPr>
      <w:r>
        <w:rPr>
          <w:rStyle w:val="Odwoanieprzypisudolnego"/>
        </w:rPr>
        <w:footnoteRef/>
      </w:r>
      <w:r>
        <w:t xml:space="preserve"> W roku 2005 według danych GUS było to 11,2 mln osób, zob. Trzeci sektor w Polsce. Stowarzyszenia, fundacje, społeczne podmioty wyznaniowe, samorząd zawodowy i gospodarczy oraz organizacje pracodawców w 2010 r., Warszawa 2013 s. 167</w:t>
      </w:r>
    </w:p>
  </w:footnote>
  <w:footnote w:id="9">
    <w:p w14:paraId="4626431D" w14:textId="74F9BA4E" w:rsidR="00814873" w:rsidRDefault="00814873" w:rsidP="00490ABA">
      <w:pPr>
        <w:pStyle w:val="Tekstprzypisudolnego"/>
      </w:pPr>
      <w:r>
        <w:rPr>
          <w:rStyle w:val="Odwoanieprzypisudolnego"/>
        </w:rPr>
        <w:footnoteRef/>
      </w:r>
      <w:r>
        <w:t xml:space="preserve"> </w:t>
      </w:r>
      <w:r w:rsidRPr="000A3891">
        <w:t xml:space="preserve">Dane pochodzą z badania Eurobarometr 75.2, </w:t>
      </w:r>
      <w:r>
        <w:t>które objęło</w:t>
      </w:r>
      <w:r w:rsidRPr="000A3891">
        <w:t xml:space="preserve"> 26</w:t>
      </w:r>
      <w:r>
        <w:t> </w:t>
      </w:r>
      <w:r w:rsidRPr="000A3891">
        <w:t xml:space="preserve">825 obywateli </w:t>
      </w:r>
      <w:r>
        <w:t xml:space="preserve">z </w:t>
      </w:r>
      <w:r w:rsidRPr="000A3891">
        <w:t>27 państw Unii Europejskiej</w:t>
      </w:r>
      <w:r>
        <w:t xml:space="preserve"> </w:t>
      </w:r>
      <w:r>
        <w:br/>
        <w:t>i</w:t>
      </w:r>
      <w:r w:rsidRPr="000A3891">
        <w:t xml:space="preserve"> przeprow</w:t>
      </w:r>
      <w:r>
        <w:t>adzone zostało</w:t>
      </w:r>
      <w:r w:rsidRPr="000A3891">
        <w:t xml:space="preserve"> metodą wywiadu bezpośredniego w dniach 13.04 – 2.05. 2011</w:t>
      </w:r>
      <w:r>
        <w:t xml:space="preserve"> r.</w:t>
      </w:r>
      <w:r w:rsidRPr="000A3891">
        <w:t xml:space="preserve"> przez TNS </w:t>
      </w:r>
      <w:proofErr w:type="spellStart"/>
      <w:r w:rsidRPr="000A3891">
        <w:t>Opinion&amp;Social</w:t>
      </w:r>
      <w:proofErr w:type="spellEnd"/>
      <w:r w:rsidRPr="000A3891">
        <w:t xml:space="preserve"> na zlecenie Parlamentu Europejskiego. Według opinii operatora badań przy tego rodzaju próbach o wielkości 1</w:t>
      </w:r>
      <w:r>
        <w:t> </w:t>
      </w:r>
      <w:r w:rsidRPr="000A3891">
        <w:t>000 wywiadów w każdym państwie rzeczywiste wartości procentowe, tj. wynik</w:t>
      </w:r>
      <w:r>
        <w:t>,</w:t>
      </w:r>
      <w:r w:rsidRPr="000A3891">
        <w:t xml:space="preserve"> który otrzymano by</w:t>
      </w:r>
      <w:r>
        <w:t>,</w:t>
      </w:r>
      <w:r w:rsidRPr="000A3891">
        <w:t xml:space="preserve"> gdyby rozmowy przeprowadzono z całą populacją</w:t>
      </w:r>
      <w:r>
        <w:t>,</w:t>
      </w:r>
      <w:r w:rsidRPr="000A3891">
        <w:t xml:space="preserve"> wahają się w ramach przedziału wartości rzędu +/- 1.9 punktu dla obserwowanych wartości 10% lub 90%, a takie w przybliżeniu są wartości w Polsce, http://www.europarl.europa.eu/atyourservice/pl/20150201PVL00072/2011-Europejski-Rok-Wolontariatu</w:t>
      </w:r>
      <w:r>
        <w:t>.</w:t>
      </w:r>
    </w:p>
  </w:footnote>
  <w:footnote w:id="10">
    <w:p w14:paraId="44E9998F" w14:textId="50B5C527" w:rsidR="00814873" w:rsidRDefault="00814873" w:rsidP="00490ABA">
      <w:pPr>
        <w:pStyle w:val="Tekstprzypisudolnego"/>
      </w:pPr>
      <w:r>
        <w:rPr>
          <w:rStyle w:val="Odwoanieprzypisudolnego"/>
        </w:rPr>
        <w:footnoteRef/>
      </w:r>
      <w:r>
        <w:t xml:space="preserve"> Dane pochodzą z</w:t>
      </w:r>
      <w:r w:rsidRPr="005D5DAC">
        <w:t xml:space="preserve"> raportu Głównego Urzędu Statystycznego Sektor non-profit w 2014 r, Warszawa 2016 oraz </w:t>
      </w:r>
      <w:r>
        <w:br/>
      </w:r>
      <w:r w:rsidRPr="005D5DAC">
        <w:t>z raportu Kondycja sektora organizacji pozarządowych w Polsce 2015, Warszawa 2016, opracowanego przez Stowarzyszenie KLON/JAWOR.</w:t>
      </w:r>
    </w:p>
  </w:footnote>
  <w:footnote w:id="11">
    <w:p w14:paraId="50B4DD9D" w14:textId="77777777" w:rsidR="00814873" w:rsidRDefault="00814873" w:rsidP="00490ABA">
      <w:pPr>
        <w:pStyle w:val="Tekstprzypisudolnego"/>
      </w:pPr>
      <w:r>
        <w:rPr>
          <w:rStyle w:val="Odwoanieprzypisudolnego"/>
        </w:rPr>
        <w:footnoteRef/>
      </w:r>
      <w:r>
        <w:t xml:space="preserve"> Zob. </w:t>
      </w:r>
      <w:r w:rsidRPr="007246CA">
        <w:t>http://opinie.ngo.pl/wiadomosci/1349913,2075701.html</w:t>
      </w:r>
    </w:p>
  </w:footnote>
  <w:footnote w:id="12">
    <w:p w14:paraId="45A6A1A2" w14:textId="77777777" w:rsidR="00814873" w:rsidRPr="00CA6FA7" w:rsidRDefault="00814873" w:rsidP="00490ABA">
      <w:pPr>
        <w:pStyle w:val="Tekstprzypisudolnego"/>
        <w:rPr>
          <w:i/>
          <w:iCs/>
        </w:rPr>
      </w:pPr>
      <w:r>
        <w:rPr>
          <w:rStyle w:val="Odwoanieprzypisudolnego"/>
        </w:rPr>
        <w:footnoteRef/>
      </w:r>
      <w:r>
        <w:t xml:space="preserve"> Rymsza M.</w:t>
      </w:r>
      <w:r w:rsidRPr="00CA6FA7">
        <w:t xml:space="preserve">, </w:t>
      </w:r>
      <w:r w:rsidRPr="00CA6FA7">
        <w:rPr>
          <w:i/>
          <w:iCs/>
        </w:rPr>
        <w:t>O polityce państwa wobec trzeciego sektor</w:t>
      </w:r>
      <w:r>
        <w:rPr>
          <w:i/>
          <w:iCs/>
        </w:rPr>
        <w:t xml:space="preserve">a i instytucjonalizacji dialogu </w:t>
      </w:r>
      <w:r w:rsidRPr="00CA6FA7">
        <w:rPr>
          <w:i/>
          <w:iCs/>
        </w:rPr>
        <w:t xml:space="preserve">obywatelskiego, </w:t>
      </w:r>
      <w:r w:rsidRPr="00CA6FA7">
        <w:t xml:space="preserve">[w:] </w:t>
      </w:r>
      <w:r w:rsidRPr="00CA6FA7">
        <w:rPr>
          <w:i/>
          <w:iCs/>
        </w:rPr>
        <w:t>Organizacje pozarządowe, dialog obywatelski, polityka państwa</w:t>
      </w:r>
      <w:r w:rsidRPr="00CA6FA7">
        <w:t>, red.</w:t>
      </w:r>
      <w:r>
        <w:rPr>
          <w:i/>
          <w:iCs/>
        </w:rPr>
        <w:t xml:space="preserve"> </w:t>
      </w:r>
      <w:r w:rsidRPr="00CA6FA7">
        <w:t>M. Rymsza, Instytut Spraw Publicznych, Warszawa</w:t>
      </w:r>
      <w:r>
        <w:t xml:space="preserve"> 2007</w:t>
      </w:r>
      <w:r w:rsidRPr="00CA6FA7">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1CAB"/>
    <w:multiLevelType w:val="multilevel"/>
    <w:tmpl w:val="2B5CB8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1D62BC4"/>
    <w:multiLevelType w:val="hybridMultilevel"/>
    <w:tmpl w:val="52725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56E6431"/>
    <w:multiLevelType w:val="hybridMultilevel"/>
    <w:tmpl w:val="72209E08"/>
    <w:lvl w:ilvl="0" w:tplc="20AA81EA">
      <w:start w:val="1"/>
      <w:numFmt w:val="bullet"/>
      <w:pStyle w:val="Listawypunktowana"/>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8F93F03"/>
    <w:multiLevelType w:val="hybridMultilevel"/>
    <w:tmpl w:val="29FE795C"/>
    <w:lvl w:ilvl="0" w:tplc="19CE5A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E6B357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867053"/>
    <w:multiLevelType w:val="hybridMultilevel"/>
    <w:tmpl w:val="E7E040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1AE3766"/>
    <w:multiLevelType w:val="hybridMultilevel"/>
    <w:tmpl w:val="E1C850A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nsid w:val="29E027C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FE3C6E"/>
    <w:multiLevelType w:val="hybridMultilevel"/>
    <w:tmpl w:val="DDC20DC8"/>
    <w:lvl w:ilvl="0" w:tplc="BE9AA4C0">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nsid w:val="2C700D4B"/>
    <w:multiLevelType w:val="hybridMultilevel"/>
    <w:tmpl w:val="4D10D620"/>
    <w:lvl w:ilvl="0" w:tplc="19CE5A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D274107"/>
    <w:multiLevelType w:val="hybridMultilevel"/>
    <w:tmpl w:val="D58022FC"/>
    <w:lvl w:ilvl="0" w:tplc="B39C136A">
      <w:start w:val="1"/>
      <w:numFmt w:val="lowerLetter"/>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E743322"/>
    <w:multiLevelType w:val="hybridMultilevel"/>
    <w:tmpl w:val="C6040240"/>
    <w:lvl w:ilvl="0" w:tplc="19CE5A5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3F573394"/>
    <w:multiLevelType w:val="hybridMultilevel"/>
    <w:tmpl w:val="E77E4C44"/>
    <w:lvl w:ilvl="0" w:tplc="2648032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0E00948"/>
    <w:multiLevelType w:val="hybridMultilevel"/>
    <w:tmpl w:val="9C32CF2A"/>
    <w:lvl w:ilvl="0" w:tplc="19CE5A5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41F339C1"/>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5E5150D"/>
    <w:multiLevelType w:val="hybridMultilevel"/>
    <w:tmpl w:val="712ADF14"/>
    <w:lvl w:ilvl="0" w:tplc="C0841D7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C8F4358"/>
    <w:multiLevelType w:val="hybridMultilevel"/>
    <w:tmpl w:val="6868FD02"/>
    <w:lvl w:ilvl="0" w:tplc="DAC09B62">
      <w:start w:val="1"/>
      <w:numFmt w:val="upp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4CDB30F7"/>
    <w:multiLevelType w:val="hybridMultilevel"/>
    <w:tmpl w:val="F8C2DFE8"/>
    <w:lvl w:ilvl="0" w:tplc="1D4E978A">
      <w:start w:val="1"/>
      <w:numFmt w:val="upp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nsid w:val="52AA1A6B"/>
    <w:multiLevelType w:val="hybridMultilevel"/>
    <w:tmpl w:val="4A3A285C"/>
    <w:lvl w:ilvl="0" w:tplc="19CE5A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5612DD3"/>
    <w:multiLevelType w:val="multilevel"/>
    <w:tmpl w:val="8CAE78C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o"/>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B784F78"/>
    <w:multiLevelType w:val="hybridMultilevel"/>
    <w:tmpl w:val="87AEBF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C5F70C1"/>
    <w:multiLevelType w:val="hybridMultilevel"/>
    <w:tmpl w:val="8620185A"/>
    <w:lvl w:ilvl="0" w:tplc="19CE5A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DCA5173"/>
    <w:multiLevelType w:val="multilevel"/>
    <w:tmpl w:val="D1C033A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F4D51F9"/>
    <w:multiLevelType w:val="multilevel"/>
    <w:tmpl w:val="FE220A8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FF91B61"/>
    <w:multiLevelType w:val="hybridMultilevel"/>
    <w:tmpl w:val="FB9E993C"/>
    <w:lvl w:ilvl="0" w:tplc="19CE5A56">
      <w:start w:val="1"/>
      <w:numFmt w:val="bullet"/>
      <w:lvlText w:val=""/>
      <w:lvlJc w:val="left"/>
      <w:pPr>
        <w:ind w:left="720" w:hanging="360"/>
      </w:pPr>
      <w:rPr>
        <w:rFonts w:ascii="Symbol" w:hAnsi="Symbo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21E6D46"/>
    <w:multiLevelType w:val="hybridMultilevel"/>
    <w:tmpl w:val="B60ECE06"/>
    <w:lvl w:ilvl="0" w:tplc="19CE5A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5E43092"/>
    <w:multiLevelType w:val="multilevel"/>
    <w:tmpl w:val="34C4C0A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65B031C"/>
    <w:multiLevelType w:val="hybridMultilevel"/>
    <w:tmpl w:val="DCAA2050"/>
    <w:lvl w:ilvl="0" w:tplc="19CE5A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6836A63"/>
    <w:multiLevelType w:val="hybridMultilevel"/>
    <w:tmpl w:val="D13ECA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D716607"/>
    <w:multiLevelType w:val="hybridMultilevel"/>
    <w:tmpl w:val="EED274DC"/>
    <w:lvl w:ilvl="0" w:tplc="19CE5A5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6DEE058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F415D75"/>
    <w:multiLevelType w:val="hybridMultilevel"/>
    <w:tmpl w:val="4DBA4FEC"/>
    <w:lvl w:ilvl="0" w:tplc="19CE5A5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0467AA9"/>
    <w:multiLevelType w:val="hybridMultilevel"/>
    <w:tmpl w:val="D3282874"/>
    <w:lvl w:ilvl="0" w:tplc="19CE5A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B2175BC"/>
    <w:multiLevelType w:val="hybridMultilevel"/>
    <w:tmpl w:val="0F1E2D40"/>
    <w:lvl w:ilvl="0" w:tplc="19CE5A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EAC53F7"/>
    <w:multiLevelType w:val="multilevel"/>
    <w:tmpl w:val="54047C0E"/>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2"/>
  </w:num>
  <w:num w:numId="2">
    <w:abstractNumId w:val="6"/>
  </w:num>
  <w:num w:numId="3">
    <w:abstractNumId w:val="16"/>
  </w:num>
  <w:num w:numId="4">
    <w:abstractNumId w:val="17"/>
  </w:num>
  <w:num w:numId="5">
    <w:abstractNumId w:val="28"/>
  </w:num>
  <w:num w:numId="6">
    <w:abstractNumId w:val="20"/>
  </w:num>
  <w:num w:numId="7">
    <w:abstractNumId w:val="14"/>
  </w:num>
  <w:num w:numId="8">
    <w:abstractNumId w:val="34"/>
  </w:num>
  <w:num w:numId="9">
    <w:abstractNumId w:val="10"/>
  </w:num>
  <w:num w:numId="10">
    <w:abstractNumId w:val="4"/>
  </w:num>
  <w:num w:numId="11">
    <w:abstractNumId w:val="7"/>
  </w:num>
  <w:num w:numId="12">
    <w:abstractNumId w:val="8"/>
  </w:num>
  <w:num w:numId="13">
    <w:abstractNumId w:val="3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32"/>
  </w:num>
  <w:num w:numId="20">
    <w:abstractNumId w:val="2"/>
  </w:num>
  <w:num w:numId="21">
    <w:abstractNumId w:val="29"/>
  </w:num>
  <w:num w:numId="22">
    <w:abstractNumId w:val="11"/>
  </w:num>
  <w:num w:numId="23">
    <w:abstractNumId w:val="13"/>
  </w:num>
  <w:num w:numId="24">
    <w:abstractNumId w:val="19"/>
  </w:num>
  <w:num w:numId="25">
    <w:abstractNumId w:val="31"/>
  </w:num>
  <w:num w:numId="26">
    <w:abstractNumId w:val="24"/>
  </w:num>
  <w:num w:numId="27">
    <w:abstractNumId w:val="1"/>
  </w:num>
  <w:num w:numId="28">
    <w:abstractNumId w:val="15"/>
  </w:num>
  <w:num w:numId="29">
    <w:abstractNumId w:val="33"/>
  </w:num>
  <w:num w:numId="30">
    <w:abstractNumId w:val="27"/>
  </w:num>
  <w:num w:numId="31">
    <w:abstractNumId w:val="21"/>
  </w:num>
  <w:num w:numId="32">
    <w:abstractNumId w:val="3"/>
  </w:num>
  <w:num w:numId="33">
    <w:abstractNumId w:val="18"/>
  </w:num>
  <w:num w:numId="34">
    <w:abstractNumId w:val="9"/>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ABA"/>
    <w:rsid w:val="00001947"/>
    <w:rsid w:val="00003291"/>
    <w:rsid w:val="000042BE"/>
    <w:rsid w:val="00005676"/>
    <w:rsid w:val="0000607B"/>
    <w:rsid w:val="000304EC"/>
    <w:rsid w:val="0004255B"/>
    <w:rsid w:val="00051A69"/>
    <w:rsid w:val="000749A5"/>
    <w:rsid w:val="00077467"/>
    <w:rsid w:val="00077D5A"/>
    <w:rsid w:val="00081C9A"/>
    <w:rsid w:val="000B21A6"/>
    <w:rsid w:val="000C1CE1"/>
    <w:rsid w:val="000C3D00"/>
    <w:rsid w:val="000C3F5B"/>
    <w:rsid w:val="000C4E49"/>
    <w:rsid w:val="000D0B0D"/>
    <w:rsid w:val="000D14CB"/>
    <w:rsid w:val="000E67FA"/>
    <w:rsid w:val="00103D54"/>
    <w:rsid w:val="00104C98"/>
    <w:rsid w:val="00113552"/>
    <w:rsid w:val="00122F76"/>
    <w:rsid w:val="0012482F"/>
    <w:rsid w:val="001254CB"/>
    <w:rsid w:val="0012652B"/>
    <w:rsid w:val="00133316"/>
    <w:rsid w:val="00146D5F"/>
    <w:rsid w:val="0017447F"/>
    <w:rsid w:val="001803F8"/>
    <w:rsid w:val="00193076"/>
    <w:rsid w:val="00197F0C"/>
    <w:rsid w:val="001A1B61"/>
    <w:rsid w:val="001B0EB0"/>
    <w:rsid w:val="001C21BA"/>
    <w:rsid w:val="001C2294"/>
    <w:rsid w:val="001D4D44"/>
    <w:rsid w:val="001E2372"/>
    <w:rsid w:val="001E337D"/>
    <w:rsid w:val="002104C2"/>
    <w:rsid w:val="00213529"/>
    <w:rsid w:val="00214139"/>
    <w:rsid w:val="002248DD"/>
    <w:rsid w:val="00225EC1"/>
    <w:rsid w:val="00230443"/>
    <w:rsid w:val="00231741"/>
    <w:rsid w:val="002332AA"/>
    <w:rsid w:val="0023604B"/>
    <w:rsid w:val="002408C0"/>
    <w:rsid w:val="00252111"/>
    <w:rsid w:val="002532A1"/>
    <w:rsid w:val="00256394"/>
    <w:rsid w:val="00263591"/>
    <w:rsid w:val="0027018A"/>
    <w:rsid w:val="00291898"/>
    <w:rsid w:val="00292610"/>
    <w:rsid w:val="00295AAD"/>
    <w:rsid w:val="002A2B3D"/>
    <w:rsid w:val="002C60FE"/>
    <w:rsid w:val="002D06B1"/>
    <w:rsid w:val="002D62FC"/>
    <w:rsid w:val="002D6B55"/>
    <w:rsid w:val="002E4764"/>
    <w:rsid w:val="002F3758"/>
    <w:rsid w:val="00314520"/>
    <w:rsid w:val="003147F4"/>
    <w:rsid w:val="003176BB"/>
    <w:rsid w:val="00352E7C"/>
    <w:rsid w:val="00354AEC"/>
    <w:rsid w:val="003562CF"/>
    <w:rsid w:val="00360EB9"/>
    <w:rsid w:val="003652C8"/>
    <w:rsid w:val="00372CDC"/>
    <w:rsid w:val="00372D3F"/>
    <w:rsid w:val="00374C03"/>
    <w:rsid w:val="00387386"/>
    <w:rsid w:val="00392C0F"/>
    <w:rsid w:val="003A6118"/>
    <w:rsid w:val="003A68A1"/>
    <w:rsid w:val="003A7A8C"/>
    <w:rsid w:val="003B09BD"/>
    <w:rsid w:val="003B1067"/>
    <w:rsid w:val="003C3163"/>
    <w:rsid w:val="003E0771"/>
    <w:rsid w:val="00423A02"/>
    <w:rsid w:val="00430B4D"/>
    <w:rsid w:val="0043302C"/>
    <w:rsid w:val="004333B7"/>
    <w:rsid w:val="00450872"/>
    <w:rsid w:val="0046415B"/>
    <w:rsid w:val="00473328"/>
    <w:rsid w:val="00490ABA"/>
    <w:rsid w:val="00493BFA"/>
    <w:rsid w:val="00496BBE"/>
    <w:rsid w:val="004D2FAF"/>
    <w:rsid w:val="004D40EF"/>
    <w:rsid w:val="004E1755"/>
    <w:rsid w:val="004E371A"/>
    <w:rsid w:val="004E55A5"/>
    <w:rsid w:val="004E6036"/>
    <w:rsid w:val="004E7CCB"/>
    <w:rsid w:val="00513C20"/>
    <w:rsid w:val="00515170"/>
    <w:rsid w:val="00530BC4"/>
    <w:rsid w:val="005354A0"/>
    <w:rsid w:val="00554145"/>
    <w:rsid w:val="00554B96"/>
    <w:rsid w:val="005555F8"/>
    <w:rsid w:val="00563F3F"/>
    <w:rsid w:val="005664CC"/>
    <w:rsid w:val="00567CAF"/>
    <w:rsid w:val="005768C3"/>
    <w:rsid w:val="00581219"/>
    <w:rsid w:val="00590292"/>
    <w:rsid w:val="00593294"/>
    <w:rsid w:val="0059558A"/>
    <w:rsid w:val="00596911"/>
    <w:rsid w:val="005A3B2B"/>
    <w:rsid w:val="005B1925"/>
    <w:rsid w:val="005C216B"/>
    <w:rsid w:val="005C3F24"/>
    <w:rsid w:val="005C5A81"/>
    <w:rsid w:val="005D150C"/>
    <w:rsid w:val="005D2383"/>
    <w:rsid w:val="005D2516"/>
    <w:rsid w:val="005D49FD"/>
    <w:rsid w:val="005E06A7"/>
    <w:rsid w:val="005E1292"/>
    <w:rsid w:val="005E1931"/>
    <w:rsid w:val="005E1968"/>
    <w:rsid w:val="005E30E2"/>
    <w:rsid w:val="005E3550"/>
    <w:rsid w:val="005E3CD0"/>
    <w:rsid w:val="005E7ECA"/>
    <w:rsid w:val="00602D1D"/>
    <w:rsid w:val="00617685"/>
    <w:rsid w:val="006265B7"/>
    <w:rsid w:val="00627130"/>
    <w:rsid w:val="006303C5"/>
    <w:rsid w:val="006323CC"/>
    <w:rsid w:val="006506A8"/>
    <w:rsid w:val="00653187"/>
    <w:rsid w:val="00660572"/>
    <w:rsid w:val="006707D4"/>
    <w:rsid w:val="006719DB"/>
    <w:rsid w:val="006720EA"/>
    <w:rsid w:val="006779C8"/>
    <w:rsid w:val="00684DC6"/>
    <w:rsid w:val="006877BF"/>
    <w:rsid w:val="0069120B"/>
    <w:rsid w:val="006936F9"/>
    <w:rsid w:val="006A58A7"/>
    <w:rsid w:val="006C453A"/>
    <w:rsid w:val="006C6F8C"/>
    <w:rsid w:val="006F1411"/>
    <w:rsid w:val="006F3409"/>
    <w:rsid w:val="00704B11"/>
    <w:rsid w:val="00711EB6"/>
    <w:rsid w:val="00712626"/>
    <w:rsid w:val="007313C9"/>
    <w:rsid w:val="007515B5"/>
    <w:rsid w:val="00761D24"/>
    <w:rsid w:val="0076672D"/>
    <w:rsid w:val="00783F00"/>
    <w:rsid w:val="007874E1"/>
    <w:rsid w:val="007A6A28"/>
    <w:rsid w:val="007B4C28"/>
    <w:rsid w:val="007B5D74"/>
    <w:rsid w:val="007B6ABD"/>
    <w:rsid w:val="007D5465"/>
    <w:rsid w:val="00807EBE"/>
    <w:rsid w:val="00811C13"/>
    <w:rsid w:val="00814873"/>
    <w:rsid w:val="008277D4"/>
    <w:rsid w:val="008308A6"/>
    <w:rsid w:val="00830967"/>
    <w:rsid w:val="00834F5C"/>
    <w:rsid w:val="00842EF3"/>
    <w:rsid w:val="0085001B"/>
    <w:rsid w:val="0085095A"/>
    <w:rsid w:val="00850E47"/>
    <w:rsid w:val="0085637A"/>
    <w:rsid w:val="00857222"/>
    <w:rsid w:val="0085778F"/>
    <w:rsid w:val="008643A6"/>
    <w:rsid w:val="0087015C"/>
    <w:rsid w:val="0087325D"/>
    <w:rsid w:val="00876468"/>
    <w:rsid w:val="00880C21"/>
    <w:rsid w:val="008827FF"/>
    <w:rsid w:val="008B0182"/>
    <w:rsid w:val="008B56CD"/>
    <w:rsid w:val="008D3D07"/>
    <w:rsid w:val="008D43AB"/>
    <w:rsid w:val="008D5DFD"/>
    <w:rsid w:val="008E3B76"/>
    <w:rsid w:val="008E74DB"/>
    <w:rsid w:val="008F027C"/>
    <w:rsid w:val="008F2E99"/>
    <w:rsid w:val="008F7BD2"/>
    <w:rsid w:val="00900536"/>
    <w:rsid w:val="009113D5"/>
    <w:rsid w:val="00917545"/>
    <w:rsid w:val="00932F38"/>
    <w:rsid w:val="00953442"/>
    <w:rsid w:val="009536FD"/>
    <w:rsid w:val="00962E30"/>
    <w:rsid w:val="00967C98"/>
    <w:rsid w:val="009744DD"/>
    <w:rsid w:val="00975B7F"/>
    <w:rsid w:val="0099026D"/>
    <w:rsid w:val="009A0AE3"/>
    <w:rsid w:val="009B655A"/>
    <w:rsid w:val="009C1F3B"/>
    <w:rsid w:val="009D520E"/>
    <w:rsid w:val="009E09B7"/>
    <w:rsid w:val="009E2D47"/>
    <w:rsid w:val="00A03E91"/>
    <w:rsid w:val="00A129EC"/>
    <w:rsid w:val="00A13007"/>
    <w:rsid w:val="00A15603"/>
    <w:rsid w:val="00A20625"/>
    <w:rsid w:val="00A364EF"/>
    <w:rsid w:val="00A367D5"/>
    <w:rsid w:val="00A454ED"/>
    <w:rsid w:val="00A53A4F"/>
    <w:rsid w:val="00A60140"/>
    <w:rsid w:val="00A62217"/>
    <w:rsid w:val="00A65C05"/>
    <w:rsid w:val="00A71577"/>
    <w:rsid w:val="00A75BFF"/>
    <w:rsid w:val="00A762F4"/>
    <w:rsid w:val="00A8737D"/>
    <w:rsid w:val="00AA186E"/>
    <w:rsid w:val="00AB0A78"/>
    <w:rsid w:val="00AB1A3D"/>
    <w:rsid w:val="00AB79EE"/>
    <w:rsid w:val="00AC3BB6"/>
    <w:rsid w:val="00AC5A73"/>
    <w:rsid w:val="00AD20B1"/>
    <w:rsid w:val="00AE1280"/>
    <w:rsid w:val="00AE4DDD"/>
    <w:rsid w:val="00AE692C"/>
    <w:rsid w:val="00AE716B"/>
    <w:rsid w:val="00AF2C20"/>
    <w:rsid w:val="00AF5568"/>
    <w:rsid w:val="00B2612B"/>
    <w:rsid w:val="00B330EA"/>
    <w:rsid w:val="00B33B28"/>
    <w:rsid w:val="00B41507"/>
    <w:rsid w:val="00B433DE"/>
    <w:rsid w:val="00B47AE9"/>
    <w:rsid w:val="00B510D8"/>
    <w:rsid w:val="00B53A46"/>
    <w:rsid w:val="00B53CD7"/>
    <w:rsid w:val="00B716A8"/>
    <w:rsid w:val="00B75499"/>
    <w:rsid w:val="00B77AC7"/>
    <w:rsid w:val="00B8564B"/>
    <w:rsid w:val="00B9121C"/>
    <w:rsid w:val="00B91DD9"/>
    <w:rsid w:val="00B93AA0"/>
    <w:rsid w:val="00B97334"/>
    <w:rsid w:val="00BA0105"/>
    <w:rsid w:val="00BF3DC1"/>
    <w:rsid w:val="00C00113"/>
    <w:rsid w:val="00C04584"/>
    <w:rsid w:val="00C04A28"/>
    <w:rsid w:val="00C04ED1"/>
    <w:rsid w:val="00C063AD"/>
    <w:rsid w:val="00C1286B"/>
    <w:rsid w:val="00C1545F"/>
    <w:rsid w:val="00C21063"/>
    <w:rsid w:val="00C2254E"/>
    <w:rsid w:val="00C227CD"/>
    <w:rsid w:val="00C2636F"/>
    <w:rsid w:val="00C56173"/>
    <w:rsid w:val="00C6387A"/>
    <w:rsid w:val="00CB486D"/>
    <w:rsid w:val="00CD56FD"/>
    <w:rsid w:val="00CD7520"/>
    <w:rsid w:val="00CF3222"/>
    <w:rsid w:val="00CF7855"/>
    <w:rsid w:val="00D03D3B"/>
    <w:rsid w:val="00D04AB3"/>
    <w:rsid w:val="00D0553C"/>
    <w:rsid w:val="00D10C92"/>
    <w:rsid w:val="00D12F24"/>
    <w:rsid w:val="00D31AC1"/>
    <w:rsid w:val="00D31F0F"/>
    <w:rsid w:val="00D37852"/>
    <w:rsid w:val="00D53B44"/>
    <w:rsid w:val="00D5738C"/>
    <w:rsid w:val="00D57E40"/>
    <w:rsid w:val="00D57F2D"/>
    <w:rsid w:val="00D62AD7"/>
    <w:rsid w:val="00D65208"/>
    <w:rsid w:val="00D668A1"/>
    <w:rsid w:val="00D67F91"/>
    <w:rsid w:val="00D72589"/>
    <w:rsid w:val="00D74073"/>
    <w:rsid w:val="00D762D0"/>
    <w:rsid w:val="00D771C1"/>
    <w:rsid w:val="00D80A5F"/>
    <w:rsid w:val="00D80D45"/>
    <w:rsid w:val="00D81322"/>
    <w:rsid w:val="00D9171A"/>
    <w:rsid w:val="00D9637E"/>
    <w:rsid w:val="00DA5719"/>
    <w:rsid w:val="00DB1F27"/>
    <w:rsid w:val="00DC1F78"/>
    <w:rsid w:val="00DD208E"/>
    <w:rsid w:val="00DD40A1"/>
    <w:rsid w:val="00E00DEB"/>
    <w:rsid w:val="00E01D1E"/>
    <w:rsid w:val="00E05E6D"/>
    <w:rsid w:val="00E16CF1"/>
    <w:rsid w:val="00E3385A"/>
    <w:rsid w:val="00E41AE4"/>
    <w:rsid w:val="00E47BBE"/>
    <w:rsid w:val="00E504EC"/>
    <w:rsid w:val="00E54DFE"/>
    <w:rsid w:val="00E61782"/>
    <w:rsid w:val="00E63E8D"/>
    <w:rsid w:val="00E640FF"/>
    <w:rsid w:val="00E74C5A"/>
    <w:rsid w:val="00E77541"/>
    <w:rsid w:val="00E81EC6"/>
    <w:rsid w:val="00E84E00"/>
    <w:rsid w:val="00E936A8"/>
    <w:rsid w:val="00E95396"/>
    <w:rsid w:val="00EC3467"/>
    <w:rsid w:val="00EC35D3"/>
    <w:rsid w:val="00ED7712"/>
    <w:rsid w:val="00EE4E16"/>
    <w:rsid w:val="00EE5414"/>
    <w:rsid w:val="00F00A60"/>
    <w:rsid w:val="00F07A56"/>
    <w:rsid w:val="00F24724"/>
    <w:rsid w:val="00F27DD1"/>
    <w:rsid w:val="00F4187E"/>
    <w:rsid w:val="00F62E14"/>
    <w:rsid w:val="00F71383"/>
    <w:rsid w:val="00F76E80"/>
    <w:rsid w:val="00F825AC"/>
    <w:rsid w:val="00FA3E5E"/>
    <w:rsid w:val="00FB0304"/>
    <w:rsid w:val="00FB7C8D"/>
    <w:rsid w:val="00FB7F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6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3291"/>
    <w:pPr>
      <w:spacing w:after="120" w:line="360" w:lineRule="auto"/>
      <w:jc w:val="both"/>
    </w:pPr>
    <w:rPr>
      <w:rFonts w:ascii="Calibri Light" w:hAnsi="Calibri Light"/>
      <w:sz w:val="24"/>
    </w:rPr>
  </w:style>
  <w:style w:type="paragraph" w:styleId="Nagwek1">
    <w:name w:val="heading 1"/>
    <w:basedOn w:val="Normalny"/>
    <w:next w:val="Normalny"/>
    <w:link w:val="Nagwek1Znak"/>
    <w:uiPriority w:val="9"/>
    <w:qFormat/>
    <w:rsid w:val="00490A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AB79EE"/>
    <w:pPr>
      <w:keepNext/>
      <w:keepLines/>
      <w:spacing w:before="40" w:after="0"/>
      <w:jc w:val="left"/>
      <w:outlineLvl w:val="1"/>
    </w:pPr>
    <w:rPr>
      <w:rFonts w:asciiTheme="majorHAnsi" w:eastAsiaTheme="majorEastAsia" w:hAnsiTheme="majorHAnsi" w:cstheme="majorBidi"/>
      <w:color w:val="2E74B5" w:themeColor="accent1" w:themeShade="BF"/>
      <w:szCs w:val="26"/>
    </w:rPr>
  </w:style>
  <w:style w:type="paragraph" w:styleId="Nagwek3">
    <w:name w:val="heading 3"/>
    <w:basedOn w:val="Normalny"/>
    <w:next w:val="Normalny"/>
    <w:link w:val="Nagwek3Znak"/>
    <w:uiPriority w:val="9"/>
    <w:unhideWhenUsed/>
    <w:qFormat/>
    <w:rsid w:val="00C2254E"/>
    <w:pPr>
      <w:keepNext/>
      <w:keepLines/>
      <w:spacing w:before="40" w:after="0"/>
      <w:jc w:val="left"/>
      <w:outlineLvl w:val="2"/>
    </w:pPr>
    <w:rPr>
      <w:rFonts w:asciiTheme="majorHAnsi" w:eastAsiaTheme="majorEastAsia" w:hAnsiTheme="majorHAnsi" w:cstheme="majorBidi"/>
      <w:color w:val="1F4D78" w:themeColor="accent1" w:themeShade="7F"/>
      <w:szCs w:val="24"/>
    </w:rPr>
  </w:style>
  <w:style w:type="paragraph" w:styleId="Nagwek4">
    <w:name w:val="heading 4"/>
    <w:basedOn w:val="Normalny"/>
    <w:next w:val="Normalny"/>
    <w:link w:val="Nagwek4Znak"/>
    <w:uiPriority w:val="9"/>
    <w:unhideWhenUsed/>
    <w:qFormat/>
    <w:rsid w:val="00C2254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90ABA"/>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AB79EE"/>
    <w:rPr>
      <w:rFonts w:asciiTheme="majorHAnsi" w:eastAsiaTheme="majorEastAsia" w:hAnsiTheme="majorHAnsi" w:cstheme="majorBidi"/>
      <w:color w:val="2E74B5" w:themeColor="accent1" w:themeShade="BF"/>
      <w:sz w:val="24"/>
      <w:szCs w:val="26"/>
    </w:rPr>
  </w:style>
  <w:style w:type="paragraph" w:styleId="Legenda">
    <w:name w:val="caption"/>
    <w:basedOn w:val="Normalny"/>
    <w:next w:val="Normalny"/>
    <w:uiPriority w:val="35"/>
    <w:unhideWhenUsed/>
    <w:qFormat/>
    <w:rsid w:val="0087325D"/>
    <w:pPr>
      <w:spacing w:before="240" w:line="240" w:lineRule="auto"/>
    </w:pPr>
    <w:rPr>
      <w:i/>
      <w:iCs/>
      <w:color w:val="44546A" w:themeColor="text2"/>
      <w:sz w:val="18"/>
      <w:szCs w:val="18"/>
    </w:rPr>
  </w:style>
  <w:style w:type="paragraph" w:styleId="Tekstprzypisudolnego">
    <w:name w:val="footnote text"/>
    <w:basedOn w:val="Normalny"/>
    <w:link w:val="TekstprzypisudolnegoZnak"/>
    <w:uiPriority w:val="99"/>
    <w:semiHidden/>
    <w:unhideWhenUsed/>
    <w:rsid w:val="00490AB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90ABA"/>
    <w:rPr>
      <w:rFonts w:ascii="Calibri Light" w:hAnsi="Calibri Light"/>
      <w:sz w:val="20"/>
      <w:szCs w:val="20"/>
    </w:rPr>
  </w:style>
  <w:style w:type="character" w:styleId="Odwoanieprzypisudolnego">
    <w:name w:val="footnote reference"/>
    <w:basedOn w:val="Domylnaczcionkaakapitu"/>
    <w:uiPriority w:val="99"/>
    <w:semiHidden/>
    <w:unhideWhenUsed/>
    <w:rsid w:val="00490ABA"/>
    <w:rPr>
      <w:vertAlign w:val="superscript"/>
    </w:rPr>
  </w:style>
  <w:style w:type="paragraph" w:styleId="Nagwek">
    <w:name w:val="header"/>
    <w:basedOn w:val="Normalny"/>
    <w:link w:val="NagwekZnak"/>
    <w:uiPriority w:val="99"/>
    <w:unhideWhenUsed/>
    <w:rsid w:val="00490A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0ABA"/>
    <w:rPr>
      <w:rFonts w:ascii="Calibri Light" w:hAnsi="Calibri Light"/>
      <w:sz w:val="24"/>
    </w:rPr>
  </w:style>
  <w:style w:type="paragraph" w:styleId="Stopka">
    <w:name w:val="footer"/>
    <w:basedOn w:val="Normalny"/>
    <w:link w:val="StopkaZnak"/>
    <w:uiPriority w:val="99"/>
    <w:unhideWhenUsed/>
    <w:rsid w:val="00490A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0ABA"/>
    <w:rPr>
      <w:rFonts w:ascii="Calibri Light" w:hAnsi="Calibri Light"/>
      <w:sz w:val="24"/>
    </w:rPr>
  </w:style>
  <w:style w:type="paragraph" w:styleId="Akapitzlist">
    <w:name w:val="List Paragraph"/>
    <w:basedOn w:val="Normalny"/>
    <w:uiPriority w:val="34"/>
    <w:qFormat/>
    <w:rsid w:val="00490ABA"/>
    <w:pPr>
      <w:spacing w:after="160"/>
      <w:ind w:left="720"/>
      <w:contextualSpacing/>
    </w:pPr>
  </w:style>
  <w:style w:type="paragraph" w:styleId="Tekstdymka">
    <w:name w:val="Balloon Text"/>
    <w:basedOn w:val="Normalny"/>
    <w:link w:val="TekstdymkaZnak"/>
    <w:uiPriority w:val="99"/>
    <w:semiHidden/>
    <w:unhideWhenUsed/>
    <w:rsid w:val="00490AB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0ABA"/>
    <w:rPr>
      <w:rFonts w:ascii="Segoe UI" w:hAnsi="Segoe UI" w:cs="Segoe UI"/>
      <w:sz w:val="18"/>
      <w:szCs w:val="18"/>
    </w:rPr>
  </w:style>
  <w:style w:type="table" w:styleId="Tabela-Siatka">
    <w:name w:val="Table Grid"/>
    <w:basedOn w:val="Standardowy"/>
    <w:uiPriority w:val="39"/>
    <w:rsid w:val="00490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490ABA"/>
    <w:pPr>
      <w:spacing w:before="100" w:beforeAutospacing="1" w:after="100" w:afterAutospacing="1" w:line="240" w:lineRule="auto"/>
    </w:pPr>
    <w:rPr>
      <w:rFonts w:ascii="Times New Roman" w:hAnsi="Times New Roman" w:cs="Times New Roman"/>
      <w:szCs w:val="24"/>
      <w:lang w:eastAsia="pl-PL"/>
    </w:rPr>
  </w:style>
  <w:style w:type="character" w:styleId="Odwoaniedokomentarza">
    <w:name w:val="annotation reference"/>
    <w:basedOn w:val="Domylnaczcionkaakapitu"/>
    <w:uiPriority w:val="99"/>
    <w:semiHidden/>
    <w:unhideWhenUsed/>
    <w:rsid w:val="00490ABA"/>
    <w:rPr>
      <w:sz w:val="16"/>
      <w:szCs w:val="16"/>
    </w:rPr>
  </w:style>
  <w:style w:type="paragraph" w:styleId="Tekstkomentarza">
    <w:name w:val="annotation text"/>
    <w:basedOn w:val="Normalny"/>
    <w:link w:val="TekstkomentarzaZnak"/>
    <w:uiPriority w:val="99"/>
    <w:semiHidden/>
    <w:unhideWhenUsed/>
    <w:rsid w:val="00490ABA"/>
    <w:pPr>
      <w:spacing w:after="160" w:line="240" w:lineRule="auto"/>
    </w:pPr>
    <w:rPr>
      <w:sz w:val="20"/>
      <w:szCs w:val="20"/>
    </w:rPr>
  </w:style>
  <w:style w:type="character" w:customStyle="1" w:styleId="TekstkomentarzaZnak">
    <w:name w:val="Tekst komentarza Znak"/>
    <w:basedOn w:val="Domylnaczcionkaakapitu"/>
    <w:link w:val="Tekstkomentarza"/>
    <w:uiPriority w:val="99"/>
    <w:semiHidden/>
    <w:rsid w:val="00490ABA"/>
    <w:rPr>
      <w:rFonts w:ascii="Calibri Light" w:hAnsi="Calibri Light"/>
      <w:sz w:val="20"/>
      <w:szCs w:val="20"/>
    </w:rPr>
  </w:style>
  <w:style w:type="paragraph" w:styleId="Tematkomentarza">
    <w:name w:val="annotation subject"/>
    <w:basedOn w:val="Tekstkomentarza"/>
    <w:next w:val="Tekstkomentarza"/>
    <w:link w:val="TematkomentarzaZnak"/>
    <w:uiPriority w:val="99"/>
    <w:semiHidden/>
    <w:unhideWhenUsed/>
    <w:rsid w:val="00490ABA"/>
    <w:rPr>
      <w:b/>
      <w:bCs/>
    </w:rPr>
  </w:style>
  <w:style w:type="character" w:customStyle="1" w:styleId="TematkomentarzaZnak">
    <w:name w:val="Temat komentarza Znak"/>
    <w:basedOn w:val="TekstkomentarzaZnak"/>
    <w:link w:val="Tematkomentarza"/>
    <w:uiPriority w:val="99"/>
    <w:semiHidden/>
    <w:rsid w:val="00490ABA"/>
    <w:rPr>
      <w:rFonts w:ascii="Calibri Light" w:hAnsi="Calibri Light"/>
      <w:b/>
      <w:bCs/>
      <w:sz w:val="20"/>
      <w:szCs w:val="20"/>
    </w:rPr>
  </w:style>
  <w:style w:type="paragraph" w:styleId="Nagwekspisutreci">
    <w:name w:val="TOC Heading"/>
    <w:basedOn w:val="Nagwek1"/>
    <w:next w:val="Normalny"/>
    <w:uiPriority w:val="39"/>
    <w:unhideWhenUsed/>
    <w:qFormat/>
    <w:rsid w:val="00490ABA"/>
    <w:pPr>
      <w:outlineLvl w:val="9"/>
    </w:pPr>
    <w:rPr>
      <w:lang w:eastAsia="pl-PL"/>
    </w:rPr>
  </w:style>
  <w:style w:type="paragraph" w:styleId="Spistreci2">
    <w:name w:val="toc 2"/>
    <w:basedOn w:val="Normalny"/>
    <w:next w:val="Normalny"/>
    <w:autoRedefine/>
    <w:uiPriority w:val="39"/>
    <w:unhideWhenUsed/>
    <w:rsid w:val="00AB0A78"/>
    <w:pPr>
      <w:tabs>
        <w:tab w:val="right" w:leader="dot" w:pos="9062"/>
      </w:tabs>
      <w:spacing w:after="100"/>
      <w:ind w:left="220"/>
    </w:pPr>
  </w:style>
  <w:style w:type="character" w:styleId="Hipercze">
    <w:name w:val="Hyperlink"/>
    <w:basedOn w:val="Domylnaczcionkaakapitu"/>
    <w:uiPriority w:val="99"/>
    <w:unhideWhenUsed/>
    <w:rsid w:val="00490ABA"/>
    <w:rPr>
      <w:color w:val="0563C1" w:themeColor="hyperlink"/>
      <w:u w:val="single"/>
    </w:rPr>
  </w:style>
  <w:style w:type="table" w:customStyle="1" w:styleId="Zwykatabela51">
    <w:name w:val="Zwykła tabela 51"/>
    <w:basedOn w:val="Standardowy"/>
    <w:uiPriority w:val="45"/>
    <w:rsid w:val="00490AB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Zwykatabela31">
    <w:name w:val="Zwykła tabela 31"/>
    <w:basedOn w:val="Standardowy"/>
    <w:uiPriority w:val="43"/>
    <w:rsid w:val="00490AB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21">
    <w:name w:val="Zwykła tabela 21"/>
    <w:basedOn w:val="Standardowy"/>
    <w:uiPriority w:val="42"/>
    <w:rsid w:val="00490AB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t">
    <w:name w:val="st"/>
    <w:basedOn w:val="Domylnaczcionkaakapitu"/>
    <w:rsid w:val="00490ABA"/>
  </w:style>
  <w:style w:type="character" w:customStyle="1" w:styleId="Nagwek3Znak">
    <w:name w:val="Nagłówek 3 Znak"/>
    <w:basedOn w:val="Domylnaczcionkaakapitu"/>
    <w:link w:val="Nagwek3"/>
    <w:uiPriority w:val="9"/>
    <w:rsid w:val="00C2254E"/>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C2254E"/>
    <w:rPr>
      <w:rFonts w:asciiTheme="majorHAnsi" w:eastAsiaTheme="majorEastAsia" w:hAnsiTheme="majorHAnsi" w:cstheme="majorBidi"/>
      <w:i/>
      <w:iCs/>
      <w:color w:val="2E74B5" w:themeColor="accent1" w:themeShade="BF"/>
      <w:sz w:val="24"/>
    </w:rPr>
  </w:style>
  <w:style w:type="character" w:styleId="Wyrnienieintensywne">
    <w:name w:val="Intense Emphasis"/>
    <w:basedOn w:val="Domylnaczcionkaakapitu"/>
    <w:uiPriority w:val="21"/>
    <w:qFormat/>
    <w:rsid w:val="00C2254E"/>
    <w:rPr>
      <w:i/>
      <w:iCs/>
      <w:color w:val="5B9BD5" w:themeColor="accent1"/>
    </w:rPr>
  </w:style>
  <w:style w:type="character" w:styleId="Uwydatnienie">
    <w:name w:val="Emphasis"/>
    <w:basedOn w:val="Domylnaczcionkaakapitu"/>
    <w:uiPriority w:val="20"/>
    <w:qFormat/>
    <w:rsid w:val="00B2612B"/>
    <w:rPr>
      <w:i/>
      <w:iCs/>
    </w:rPr>
  </w:style>
  <w:style w:type="paragraph" w:customStyle="1" w:styleId="Listawypunktowana">
    <w:name w:val="Lista wypunktowana"/>
    <w:basedOn w:val="Akapitzlist"/>
    <w:link w:val="ListawypunktowanaZnak"/>
    <w:qFormat/>
    <w:rsid w:val="00B2612B"/>
    <w:pPr>
      <w:numPr>
        <w:numId w:val="20"/>
      </w:numPr>
      <w:spacing w:after="0"/>
      <w:ind w:left="714" w:hanging="357"/>
      <w:jc w:val="left"/>
    </w:pPr>
    <w:rPr>
      <w:rFonts w:eastAsia="Times New Roman" w:cs="Times New Roman"/>
      <w:szCs w:val="24"/>
      <w:lang w:eastAsia="pl-PL"/>
    </w:rPr>
  </w:style>
  <w:style w:type="character" w:customStyle="1" w:styleId="ListawypunktowanaZnak">
    <w:name w:val="Lista wypunktowana Znak"/>
    <w:basedOn w:val="Domylnaczcionkaakapitu"/>
    <w:link w:val="Listawypunktowana"/>
    <w:rsid w:val="00B2612B"/>
    <w:rPr>
      <w:rFonts w:ascii="Calibri Light" w:eastAsia="Times New Roman" w:hAnsi="Calibri Light" w:cs="Times New Roman"/>
      <w:sz w:val="24"/>
      <w:szCs w:val="24"/>
      <w:lang w:eastAsia="pl-PL"/>
    </w:rPr>
  </w:style>
  <w:style w:type="paragraph" w:styleId="Spistreci1">
    <w:name w:val="toc 1"/>
    <w:basedOn w:val="Normalny"/>
    <w:next w:val="Normalny"/>
    <w:autoRedefine/>
    <w:uiPriority w:val="39"/>
    <w:unhideWhenUsed/>
    <w:rsid w:val="00AB0A78"/>
    <w:pPr>
      <w:spacing w:after="100"/>
    </w:pPr>
  </w:style>
  <w:style w:type="paragraph" w:styleId="Spistreci3">
    <w:name w:val="toc 3"/>
    <w:basedOn w:val="Normalny"/>
    <w:next w:val="Normalny"/>
    <w:autoRedefine/>
    <w:uiPriority w:val="39"/>
    <w:unhideWhenUsed/>
    <w:rsid w:val="00AB0A78"/>
    <w:pPr>
      <w:spacing w:after="100"/>
      <w:ind w:left="480"/>
    </w:pPr>
  </w:style>
  <w:style w:type="paragraph" w:styleId="Tytu">
    <w:name w:val="Title"/>
    <w:basedOn w:val="Normalny"/>
    <w:next w:val="Normalny"/>
    <w:link w:val="TytuZnak"/>
    <w:uiPriority w:val="10"/>
    <w:qFormat/>
    <w:rsid w:val="00CF3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F3222"/>
    <w:rPr>
      <w:rFonts w:asciiTheme="majorHAnsi" w:eastAsiaTheme="majorEastAsia" w:hAnsiTheme="majorHAnsi" w:cstheme="majorBidi"/>
      <w:spacing w:val="-10"/>
      <w:kern w:val="28"/>
      <w:sz w:val="56"/>
      <w:szCs w:val="56"/>
    </w:rPr>
  </w:style>
  <w:style w:type="paragraph" w:styleId="Spisilustracji">
    <w:name w:val="table of figures"/>
    <w:basedOn w:val="Normalny"/>
    <w:next w:val="Normalny"/>
    <w:uiPriority w:val="99"/>
    <w:unhideWhenUsed/>
    <w:rsid w:val="00850E47"/>
    <w:pPr>
      <w:spacing w:after="0" w:line="240" w:lineRule="auto"/>
      <w:ind w:left="1021" w:hanging="1021"/>
    </w:pPr>
    <w:rPr>
      <w: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3291"/>
    <w:pPr>
      <w:spacing w:after="120" w:line="360" w:lineRule="auto"/>
      <w:jc w:val="both"/>
    </w:pPr>
    <w:rPr>
      <w:rFonts w:ascii="Calibri Light" w:hAnsi="Calibri Light"/>
      <w:sz w:val="24"/>
    </w:rPr>
  </w:style>
  <w:style w:type="paragraph" w:styleId="Nagwek1">
    <w:name w:val="heading 1"/>
    <w:basedOn w:val="Normalny"/>
    <w:next w:val="Normalny"/>
    <w:link w:val="Nagwek1Znak"/>
    <w:uiPriority w:val="9"/>
    <w:qFormat/>
    <w:rsid w:val="00490A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AB79EE"/>
    <w:pPr>
      <w:keepNext/>
      <w:keepLines/>
      <w:spacing w:before="40" w:after="0"/>
      <w:jc w:val="left"/>
      <w:outlineLvl w:val="1"/>
    </w:pPr>
    <w:rPr>
      <w:rFonts w:asciiTheme="majorHAnsi" w:eastAsiaTheme="majorEastAsia" w:hAnsiTheme="majorHAnsi" w:cstheme="majorBidi"/>
      <w:color w:val="2E74B5" w:themeColor="accent1" w:themeShade="BF"/>
      <w:szCs w:val="26"/>
    </w:rPr>
  </w:style>
  <w:style w:type="paragraph" w:styleId="Nagwek3">
    <w:name w:val="heading 3"/>
    <w:basedOn w:val="Normalny"/>
    <w:next w:val="Normalny"/>
    <w:link w:val="Nagwek3Znak"/>
    <w:uiPriority w:val="9"/>
    <w:unhideWhenUsed/>
    <w:qFormat/>
    <w:rsid w:val="00C2254E"/>
    <w:pPr>
      <w:keepNext/>
      <w:keepLines/>
      <w:spacing w:before="40" w:after="0"/>
      <w:jc w:val="left"/>
      <w:outlineLvl w:val="2"/>
    </w:pPr>
    <w:rPr>
      <w:rFonts w:asciiTheme="majorHAnsi" w:eastAsiaTheme="majorEastAsia" w:hAnsiTheme="majorHAnsi" w:cstheme="majorBidi"/>
      <w:color w:val="1F4D78" w:themeColor="accent1" w:themeShade="7F"/>
      <w:szCs w:val="24"/>
    </w:rPr>
  </w:style>
  <w:style w:type="paragraph" w:styleId="Nagwek4">
    <w:name w:val="heading 4"/>
    <w:basedOn w:val="Normalny"/>
    <w:next w:val="Normalny"/>
    <w:link w:val="Nagwek4Znak"/>
    <w:uiPriority w:val="9"/>
    <w:unhideWhenUsed/>
    <w:qFormat/>
    <w:rsid w:val="00C2254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90ABA"/>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AB79EE"/>
    <w:rPr>
      <w:rFonts w:asciiTheme="majorHAnsi" w:eastAsiaTheme="majorEastAsia" w:hAnsiTheme="majorHAnsi" w:cstheme="majorBidi"/>
      <w:color w:val="2E74B5" w:themeColor="accent1" w:themeShade="BF"/>
      <w:sz w:val="24"/>
      <w:szCs w:val="26"/>
    </w:rPr>
  </w:style>
  <w:style w:type="paragraph" w:styleId="Legenda">
    <w:name w:val="caption"/>
    <w:basedOn w:val="Normalny"/>
    <w:next w:val="Normalny"/>
    <w:uiPriority w:val="35"/>
    <w:unhideWhenUsed/>
    <w:qFormat/>
    <w:rsid w:val="0087325D"/>
    <w:pPr>
      <w:spacing w:before="240" w:line="240" w:lineRule="auto"/>
    </w:pPr>
    <w:rPr>
      <w:i/>
      <w:iCs/>
      <w:color w:val="44546A" w:themeColor="text2"/>
      <w:sz w:val="18"/>
      <w:szCs w:val="18"/>
    </w:rPr>
  </w:style>
  <w:style w:type="paragraph" w:styleId="Tekstprzypisudolnego">
    <w:name w:val="footnote text"/>
    <w:basedOn w:val="Normalny"/>
    <w:link w:val="TekstprzypisudolnegoZnak"/>
    <w:uiPriority w:val="99"/>
    <w:semiHidden/>
    <w:unhideWhenUsed/>
    <w:rsid w:val="00490AB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90ABA"/>
    <w:rPr>
      <w:rFonts w:ascii="Calibri Light" w:hAnsi="Calibri Light"/>
      <w:sz w:val="20"/>
      <w:szCs w:val="20"/>
    </w:rPr>
  </w:style>
  <w:style w:type="character" w:styleId="Odwoanieprzypisudolnego">
    <w:name w:val="footnote reference"/>
    <w:basedOn w:val="Domylnaczcionkaakapitu"/>
    <w:uiPriority w:val="99"/>
    <w:semiHidden/>
    <w:unhideWhenUsed/>
    <w:rsid w:val="00490ABA"/>
    <w:rPr>
      <w:vertAlign w:val="superscript"/>
    </w:rPr>
  </w:style>
  <w:style w:type="paragraph" w:styleId="Nagwek">
    <w:name w:val="header"/>
    <w:basedOn w:val="Normalny"/>
    <w:link w:val="NagwekZnak"/>
    <w:uiPriority w:val="99"/>
    <w:unhideWhenUsed/>
    <w:rsid w:val="00490A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0ABA"/>
    <w:rPr>
      <w:rFonts w:ascii="Calibri Light" w:hAnsi="Calibri Light"/>
      <w:sz w:val="24"/>
    </w:rPr>
  </w:style>
  <w:style w:type="paragraph" w:styleId="Stopka">
    <w:name w:val="footer"/>
    <w:basedOn w:val="Normalny"/>
    <w:link w:val="StopkaZnak"/>
    <w:uiPriority w:val="99"/>
    <w:unhideWhenUsed/>
    <w:rsid w:val="00490A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0ABA"/>
    <w:rPr>
      <w:rFonts w:ascii="Calibri Light" w:hAnsi="Calibri Light"/>
      <w:sz w:val="24"/>
    </w:rPr>
  </w:style>
  <w:style w:type="paragraph" w:styleId="Akapitzlist">
    <w:name w:val="List Paragraph"/>
    <w:basedOn w:val="Normalny"/>
    <w:uiPriority w:val="34"/>
    <w:qFormat/>
    <w:rsid w:val="00490ABA"/>
    <w:pPr>
      <w:spacing w:after="160"/>
      <w:ind w:left="720"/>
      <w:contextualSpacing/>
    </w:pPr>
  </w:style>
  <w:style w:type="paragraph" w:styleId="Tekstdymka">
    <w:name w:val="Balloon Text"/>
    <w:basedOn w:val="Normalny"/>
    <w:link w:val="TekstdymkaZnak"/>
    <w:uiPriority w:val="99"/>
    <w:semiHidden/>
    <w:unhideWhenUsed/>
    <w:rsid w:val="00490AB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0ABA"/>
    <w:rPr>
      <w:rFonts w:ascii="Segoe UI" w:hAnsi="Segoe UI" w:cs="Segoe UI"/>
      <w:sz w:val="18"/>
      <w:szCs w:val="18"/>
    </w:rPr>
  </w:style>
  <w:style w:type="table" w:styleId="Tabela-Siatka">
    <w:name w:val="Table Grid"/>
    <w:basedOn w:val="Standardowy"/>
    <w:uiPriority w:val="39"/>
    <w:rsid w:val="00490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490ABA"/>
    <w:pPr>
      <w:spacing w:before="100" w:beforeAutospacing="1" w:after="100" w:afterAutospacing="1" w:line="240" w:lineRule="auto"/>
    </w:pPr>
    <w:rPr>
      <w:rFonts w:ascii="Times New Roman" w:hAnsi="Times New Roman" w:cs="Times New Roman"/>
      <w:szCs w:val="24"/>
      <w:lang w:eastAsia="pl-PL"/>
    </w:rPr>
  </w:style>
  <w:style w:type="character" w:styleId="Odwoaniedokomentarza">
    <w:name w:val="annotation reference"/>
    <w:basedOn w:val="Domylnaczcionkaakapitu"/>
    <w:uiPriority w:val="99"/>
    <w:semiHidden/>
    <w:unhideWhenUsed/>
    <w:rsid w:val="00490ABA"/>
    <w:rPr>
      <w:sz w:val="16"/>
      <w:szCs w:val="16"/>
    </w:rPr>
  </w:style>
  <w:style w:type="paragraph" w:styleId="Tekstkomentarza">
    <w:name w:val="annotation text"/>
    <w:basedOn w:val="Normalny"/>
    <w:link w:val="TekstkomentarzaZnak"/>
    <w:uiPriority w:val="99"/>
    <w:semiHidden/>
    <w:unhideWhenUsed/>
    <w:rsid w:val="00490ABA"/>
    <w:pPr>
      <w:spacing w:after="160" w:line="240" w:lineRule="auto"/>
    </w:pPr>
    <w:rPr>
      <w:sz w:val="20"/>
      <w:szCs w:val="20"/>
    </w:rPr>
  </w:style>
  <w:style w:type="character" w:customStyle="1" w:styleId="TekstkomentarzaZnak">
    <w:name w:val="Tekst komentarza Znak"/>
    <w:basedOn w:val="Domylnaczcionkaakapitu"/>
    <w:link w:val="Tekstkomentarza"/>
    <w:uiPriority w:val="99"/>
    <w:semiHidden/>
    <w:rsid w:val="00490ABA"/>
    <w:rPr>
      <w:rFonts w:ascii="Calibri Light" w:hAnsi="Calibri Light"/>
      <w:sz w:val="20"/>
      <w:szCs w:val="20"/>
    </w:rPr>
  </w:style>
  <w:style w:type="paragraph" w:styleId="Tematkomentarza">
    <w:name w:val="annotation subject"/>
    <w:basedOn w:val="Tekstkomentarza"/>
    <w:next w:val="Tekstkomentarza"/>
    <w:link w:val="TematkomentarzaZnak"/>
    <w:uiPriority w:val="99"/>
    <w:semiHidden/>
    <w:unhideWhenUsed/>
    <w:rsid w:val="00490ABA"/>
    <w:rPr>
      <w:b/>
      <w:bCs/>
    </w:rPr>
  </w:style>
  <w:style w:type="character" w:customStyle="1" w:styleId="TematkomentarzaZnak">
    <w:name w:val="Temat komentarza Znak"/>
    <w:basedOn w:val="TekstkomentarzaZnak"/>
    <w:link w:val="Tematkomentarza"/>
    <w:uiPriority w:val="99"/>
    <w:semiHidden/>
    <w:rsid w:val="00490ABA"/>
    <w:rPr>
      <w:rFonts w:ascii="Calibri Light" w:hAnsi="Calibri Light"/>
      <w:b/>
      <w:bCs/>
      <w:sz w:val="20"/>
      <w:szCs w:val="20"/>
    </w:rPr>
  </w:style>
  <w:style w:type="paragraph" w:styleId="Nagwekspisutreci">
    <w:name w:val="TOC Heading"/>
    <w:basedOn w:val="Nagwek1"/>
    <w:next w:val="Normalny"/>
    <w:uiPriority w:val="39"/>
    <w:unhideWhenUsed/>
    <w:qFormat/>
    <w:rsid w:val="00490ABA"/>
    <w:pPr>
      <w:outlineLvl w:val="9"/>
    </w:pPr>
    <w:rPr>
      <w:lang w:eastAsia="pl-PL"/>
    </w:rPr>
  </w:style>
  <w:style w:type="paragraph" w:styleId="Spistreci2">
    <w:name w:val="toc 2"/>
    <w:basedOn w:val="Normalny"/>
    <w:next w:val="Normalny"/>
    <w:autoRedefine/>
    <w:uiPriority w:val="39"/>
    <w:unhideWhenUsed/>
    <w:rsid w:val="00AB0A78"/>
    <w:pPr>
      <w:tabs>
        <w:tab w:val="right" w:leader="dot" w:pos="9062"/>
      </w:tabs>
      <w:spacing w:after="100"/>
      <w:ind w:left="220"/>
    </w:pPr>
  </w:style>
  <w:style w:type="character" w:styleId="Hipercze">
    <w:name w:val="Hyperlink"/>
    <w:basedOn w:val="Domylnaczcionkaakapitu"/>
    <w:uiPriority w:val="99"/>
    <w:unhideWhenUsed/>
    <w:rsid w:val="00490ABA"/>
    <w:rPr>
      <w:color w:val="0563C1" w:themeColor="hyperlink"/>
      <w:u w:val="single"/>
    </w:rPr>
  </w:style>
  <w:style w:type="table" w:customStyle="1" w:styleId="Zwykatabela51">
    <w:name w:val="Zwykła tabela 51"/>
    <w:basedOn w:val="Standardowy"/>
    <w:uiPriority w:val="45"/>
    <w:rsid w:val="00490AB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Zwykatabela31">
    <w:name w:val="Zwykła tabela 31"/>
    <w:basedOn w:val="Standardowy"/>
    <w:uiPriority w:val="43"/>
    <w:rsid w:val="00490AB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21">
    <w:name w:val="Zwykła tabela 21"/>
    <w:basedOn w:val="Standardowy"/>
    <w:uiPriority w:val="42"/>
    <w:rsid w:val="00490AB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t">
    <w:name w:val="st"/>
    <w:basedOn w:val="Domylnaczcionkaakapitu"/>
    <w:rsid w:val="00490ABA"/>
  </w:style>
  <w:style w:type="character" w:customStyle="1" w:styleId="Nagwek3Znak">
    <w:name w:val="Nagłówek 3 Znak"/>
    <w:basedOn w:val="Domylnaczcionkaakapitu"/>
    <w:link w:val="Nagwek3"/>
    <w:uiPriority w:val="9"/>
    <w:rsid w:val="00C2254E"/>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C2254E"/>
    <w:rPr>
      <w:rFonts w:asciiTheme="majorHAnsi" w:eastAsiaTheme="majorEastAsia" w:hAnsiTheme="majorHAnsi" w:cstheme="majorBidi"/>
      <w:i/>
      <w:iCs/>
      <w:color w:val="2E74B5" w:themeColor="accent1" w:themeShade="BF"/>
      <w:sz w:val="24"/>
    </w:rPr>
  </w:style>
  <w:style w:type="character" w:styleId="Wyrnienieintensywne">
    <w:name w:val="Intense Emphasis"/>
    <w:basedOn w:val="Domylnaczcionkaakapitu"/>
    <w:uiPriority w:val="21"/>
    <w:qFormat/>
    <w:rsid w:val="00C2254E"/>
    <w:rPr>
      <w:i/>
      <w:iCs/>
      <w:color w:val="5B9BD5" w:themeColor="accent1"/>
    </w:rPr>
  </w:style>
  <w:style w:type="character" w:styleId="Uwydatnienie">
    <w:name w:val="Emphasis"/>
    <w:basedOn w:val="Domylnaczcionkaakapitu"/>
    <w:uiPriority w:val="20"/>
    <w:qFormat/>
    <w:rsid w:val="00B2612B"/>
    <w:rPr>
      <w:i/>
      <w:iCs/>
    </w:rPr>
  </w:style>
  <w:style w:type="paragraph" w:customStyle="1" w:styleId="Listawypunktowana">
    <w:name w:val="Lista wypunktowana"/>
    <w:basedOn w:val="Akapitzlist"/>
    <w:link w:val="ListawypunktowanaZnak"/>
    <w:qFormat/>
    <w:rsid w:val="00B2612B"/>
    <w:pPr>
      <w:numPr>
        <w:numId w:val="20"/>
      </w:numPr>
      <w:spacing w:after="0"/>
      <w:ind w:left="714" w:hanging="357"/>
      <w:jc w:val="left"/>
    </w:pPr>
    <w:rPr>
      <w:rFonts w:eastAsia="Times New Roman" w:cs="Times New Roman"/>
      <w:szCs w:val="24"/>
      <w:lang w:eastAsia="pl-PL"/>
    </w:rPr>
  </w:style>
  <w:style w:type="character" w:customStyle="1" w:styleId="ListawypunktowanaZnak">
    <w:name w:val="Lista wypunktowana Znak"/>
    <w:basedOn w:val="Domylnaczcionkaakapitu"/>
    <w:link w:val="Listawypunktowana"/>
    <w:rsid w:val="00B2612B"/>
    <w:rPr>
      <w:rFonts w:ascii="Calibri Light" w:eastAsia="Times New Roman" w:hAnsi="Calibri Light" w:cs="Times New Roman"/>
      <w:sz w:val="24"/>
      <w:szCs w:val="24"/>
      <w:lang w:eastAsia="pl-PL"/>
    </w:rPr>
  </w:style>
  <w:style w:type="paragraph" w:styleId="Spistreci1">
    <w:name w:val="toc 1"/>
    <w:basedOn w:val="Normalny"/>
    <w:next w:val="Normalny"/>
    <w:autoRedefine/>
    <w:uiPriority w:val="39"/>
    <w:unhideWhenUsed/>
    <w:rsid w:val="00AB0A78"/>
    <w:pPr>
      <w:spacing w:after="100"/>
    </w:pPr>
  </w:style>
  <w:style w:type="paragraph" w:styleId="Spistreci3">
    <w:name w:val="toc 3"/>
    <w:basedOn w:val="Normalny"/>
    <w:next w:val="Normalny"/>
    <w:autoRedefine/>
    <w:uiPriority w:val="39"/>
    <w:unhideWhenUsed/>
    <w:rsid w:val="00AB0A78"/>
    <w:pPr>
      <w:spacing w:after="100"/>
      <w:ind w:left="480"/>
    </w:pPr>
  </w:style>
  <w:style w:type="paragraph" w:styleId="Tytu">
    <w:name w:val="Title"/>
    <w:basedOn w:val="Normalny"/>
    <w:next w:val="Normalny"/>
    <w:link w:val="TytuZnak"/>
    <w:uiPriority w:val="10"/>
    <w:qFormat/>
    <w:rsid w:val="00CF3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F3222"/>
    <w:rPr>
      <w:rFonts w:asciiTheme="majorHAnsi" w:eastAsiaTheme="majorEastAsia" w:hAnsiTheme="majorHAnsi" w:cstheme="majorBidi"/>
      <w:spacing w:val="-10"/>
      <w:kern w:val="28"/>
      <w:sz w:val="56"/>
      <w:szCs w:val="56"/>
    </w:rPr>
  </w:style>
  <w:style w:type="paragraph" w:styleId="Spisilustracji">
    <w:name w:val="table of figures"/>
    <w:basedOn w:val="Normalny"/>
    <w:next w:val="Normalny"/>
    <w:uiPriority w:val="99"/>
    <w:unhideWhenUsed/>
    <w:rsid w:val="00850E47"/>
    <w:pPr>
      <w:spacing w:after="0" w:line="240" w:lineRule="auto"/>
      <w:ind w:left="1021" w:hanging="1021"/>
    </w:pPr>
    <w:rPr>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49775">
      <w:bodyDiv w:val="1"/>
      <w:marLeft w:val="0"/>
      <w:marRight w:val="0"/>
      <w:marTop w:val="0"/>
      <w:marBottom w:val="0"/>
      <w:divBdr>
        <w:top w:val="none" w:sz="0" w:space="0" w:color="auto"/>
        <w:left w:val="none" w:sz="0" w:space="0" w:color="auto"/>
        <w:bottom w:val="none" w:sz="0" w:space="0" w:color="auto"/>
        <w:right w:val="none" w:sz="0" w:space="0" w:color="auto"/>
      </w:divBdr>
    </w:div>
    <w:div w:id="210043837">
      <w:bodyDiv w:val="1"/>
      <w:marLeft w:val="0"/>
      <w:marRight w:val="0"/>
      <w:marTop w:val="0"/>
      <w:marBottom w:val="0"/>
      <w:divBdr>
        <w:top w:val="none" w:sz="0" w:space="0" w:color="auto"/>
        <w:left w:val="none" w:sz="0" w:space="0" w:color="auto"/>
        <w:bottom w:val="none" w:sz="0" w:space="0" w:color="auto"/>
        <w:right w:val="none" w:sz="0" w:space="0" w:color="auto"/>
      </w:divBdr>
    </w:div>
    <w:div w:id="256986696">
      <w:bodyDiv w:val="1"/>
      <w:marLeft w:val="0"/>
      <w:marRight w:val="0"/>
      <w:marTop w:val="0"/>
      <w:marBottom w:val="0"/>
      <w:divBdr>
        <w:top w:val="none" w:sz="0" w:space="0" w:color="auto"/>
        <w:left w:val="none" w:sz="0" w:space="0" w:color="auto"/>
        <w:bottom w:val="none" w:sz="0" w:space="0" w:color="auto"/>
        <w:right w:val="none" w:sz="0" w:space="0" w:color="auto"/>
      </w:divBdr>
    </w:div>
    <w:div w:id="302927119">
      <w:bodyDiv w:val="1"/>
      <w:marLeft w:val="0"/>
      <w:marRight w:val="0"/>
      <w:marTop w:val="0"/>
      <w:marBottom w:val="0"/>
      <w:divBdr>
        <w:top w:val="none" w:sz="0" w:space="0" w:color="auto"/>
        <w:left w:val="none" w:sz="0" w:space="0" w:color="auto"/>
        <w:bottom w:val="none" w:sz="0" w:space="0" w:color="auto"/>
        <w:right w:val="none" w:sz="0" w:space="0" w:color="auto"/>
      </w:divBdr>
    </w:div>
    <w:div w:id="337538595">
      <w:bodyDiv w:val="1"/>
      <w:marLeft w:val="0"/>
      <w:marRight w:val="0"/>
      <w:marTop w:val="0"/>
      <w:marBottom w:val="0"/>
      <w:divBdr>
        <w:top w:val="none" w:sz="0" w:space="0" w:color="auto"/>
        <w:left w:val="none" w:sz="0" w:space="0" w:color="auto"/>
        <w:bottom w:val="none" w:sz="0" w:space="0" w:color="auto"/>
        <w:right w:val="none" w:sz="0" w:space="0" w:color="auto"/>
      </w:divBdr>
    </w:div>
    <w:div w:id="359746625">
      <w:bodyDiv w:val="1"/>
      <w:marLeft w:val="0"/>
      <w:marRight w:val="0"/>
      <w:marTop w:val="0"/>
      <w:marBottom w:val="0"/>
      <w:divBdr>
        <w:top w:val="none" w:sz="0" w:space="0" w:color="auto"/>
        <w:left w:val="none" w:sz="0" w:space="0" w:color="auto"/>
        <w:bottom w:val="none" w:sz="0" w:space="0" w:color="auto"/>
        <w:right w:val="none" w:sz="0" w:space="0" w:color="auto"/>
      </w:divBdr>
    </w:div>
    <w:div w:id="443575449">
      <w:bodyDiv w:val="1"/>
      <w:marLeft w:val="0"/>
      <w:marRight w:val="0"/>
      <w:marTop w:val="0"/>
      <w:marBottom w:val="0"/>
      <w:divBdr>
        <w:top w:val="none" w:sz="0" w:space="0" w:color="auto"/>
        <w:left w:val="none" w:sz="0" w:space="0" w:color="auto"/>
        <w:bottom w:val="none" w:sz="0" w:space="0" w:color="auto"/>
        <w:right w:val="none" w:sz="0" w:space="0" w:color="auto"/>
      </w:divBdr>
      <w:divsChild>
        <w:div w:id="307365506">
          <w:marLeft w:val="0"/>
          <w:marRight w:val="0"/>
          <w:marTop w:val="0"/>
          <w:marBottom w:val="0"/>
          <w:divBdr>
            <w:top w:val="none" w:sz="0" w:space="0" w:color="auto"/>
            <w:left w:val="none" w:sz="0" w:space="0" w:color="auto"/>
            <w:bottom w:val="none" w:sz="0" w:space="0" w:color="auto"/>
            <w:right w:val="none" w:sz="0" w:space="0" w:color="auto"/>
          </w:divBdr>
        </w:div>
        <w:div w:id="1037704728">
          <w:marLeft w:val="0"/>
          <w:marRight w:val="0"/>
          <w:marTop w:val="0"/>
          <w:marBottom w:val="0"/>
          <w:divBdr>
            <w:top w:val="none" w:sz="0" w:space="0" w:color="auto"/>
            <w:left w:val="none" w:sz="0" w:space="0" w:color="auto"/>
            <w:bottom w:val="none" w:sz="0" w:space="0" w:color="auto"/>
            <w:right w:val="none" w:sz="0" w:space="0" w:color="auto"/>
          </w:divBdr>
        </w:div>
      </w:divsChild>
    </w:div>
    <w:div w:id="530994434">
      <w:bodyDiv w:val="1"/>
      <w:marLeft w:val="0"/>
      <w:marRight w:val="0"/>
      <w:marTop w:val="0"/>
      <w:marBottom w:val="0"/>
      <w:divBdr>
        <w:top w:val="none" w:sz="0" w:space="0" w:color="auto"/>
        <w:left w:val="none" w:sz="0" w:space="0" w:color="auto"/>
        <w:bottom w:val="none" w:sz="0" w:space="0" w:color="auto"/>
        <w:right w:val="none" w:sz="0" w:space="0" w:color="auto"/>
      </w:divBdr>
      <w:divsChild>
        <w:div w:id="2136288401">
          <w:marLeft w:val="0"/>
          <w:marRight w:val="0"/>
          <w:marTop w:val="0"/>
          <w:marBottom w:val="0"/>
          <w:divBdr>
            <w:top w:val="none" w:sz="0" w:space="0" w:color="auto"/>
            <w:left w:val="none" w:sz="0" w:space="0" w:color="auto"/>
            <w:bottom w:val="none" w:sz="0" w:space="0" w:color="auto"/>
            <w:right w:val="none" w:sz="0" w:space="0" w:color="auto"/>
          </w:divBdr>
        </w:div>
        <w:div w:id="1410270779">
          <w:marLeft w:val="0"/>
          <w:marRight w:val="0"/>
          <w:marTop w:val="0"/>
          <w:marBottom w:val="0"/>
          <w:divBdr>
            <w:top w:val="none" w:sz="0" w:space="0" w:color="auto"/>
            <w:left w:val="none" w:sz="0" w:space="0" w:color="auto"/>
            <w:bottom w:val="none" w:sz="0" w:space="0" w:color="auto"/>
            <w:right w:val="none" w:sz="0" w:space="0" w:color="auto"/>
          </w:divBdr>
        </w:div>
        <w:div w:id="323708160">
          <w:marLeft w:val="0"/>
          <w:marRight w:val="0"/>
          <w:marTop w:val="0"/>
          <w:marBottom w:val="0"/>
          <w:divBdr>
            <w:top w:val="none" w:sz="0" w:space="0" w:color="auto"/>
            <w:left w:val="none" w:sz="0" w:space="0" w:color="auto"/>
            <w:bottom w:val="none" w:sz="0" w:space="0" w:color="auto"/>
            <w:right w:val="none" w:sz="0" w:space="0" w:color="auto"/>
          </w:divBdr>
        </w:div>
        <w:div w:id="1663772122">
          <w:marLeft w:val="0"/>
          <w:marRight w:val="0"/>
          <w:marTop w:val="0"/>
          <w:marBottom w:val="0"/>
          <w:divBdr>
            <w:top w:val="none" w:sz="0" w:space="0" w:color="auto"/>
            <w:left w:val="none" w:sz="0" w:space="0" w:color="auto"/>
            <w:bottom w:val="none" w:sz="0" w:space="0" w:color="auto"/>
            <w:right w:val="none" w:sz="0" w:space="0" w:color="auto"/>
          </w:divBdr>
        </w:div>
      </w:divsChild>
    </w:div>
    <w:div w:id="548803762">
      <w:bodyDiv w:val="1"/>
      <w:marLeft w:val="0"/>
      <w:marRight w:val="0"/>
      <w:marTop w:val="0"/>
      <w:marBottom w:val="0"/>
      <w:divBdr>
        <w:top w:val="none" w:sz="0" w:space="0" w:color="auto"/>
        <w:left w:val="none" w:sz="0" w:space="0" w:color="auto"/>
        <w:bottom w:val="none" w:sz="0" w:space="0" w:color="auto"/>
        <w:right w:val="none" w:sz="0" w:space="0" w:color="auto"/>
      </w:divBdr>
    </w:div>
    <w:div w:id="559101535">
      <w:bodyDiv w:val="1"/>
      <w:marLeft w:val="0"/>
      <w:marRight w:val="0"/>
      <w:marTop w:val="0"/>
      <w:marBottom w:val="0"/>
      <w:divBdr>
        <w:top w:val="none" w:sz="0" w:space="0" w:color="auto"/>
        <w:left w:val="none" w:sz="0" w:space="0" w:color="auto"/>
        <w:bottom w:val="none" w:sz="0" w:space="0" w:color="auto"/>
        <w:right w:val="none" w:sz="0" w:space="0" w:color="auto"/>
      </w:divBdr>
    </w:div>
    <w:div w:id="726218723">
      <w:bodyDiv w:val="1"/>
      <w:marLeft w:val="0"/>
      <w:marRight w:val="0"/>
      <w:marTop w:val="0"/>
      <w:marBottom w:val="0"/>
      <w:divBdr>
        <w:top w:val="none" w:sz="0" w:space="0" w:color="auto"/>
        <w:left w:val="none" w:sz="0" w:space="0" w:color="auto"/>
        <w:bottom w:val="none" w:sz="0" w:space="0" w:color="auto"/>
        <w:right w:val="none" w:sz="0" w:space="0" w:color="auto"/>
      </w:divBdr>
    </w:div>
    <w:div w:id="744645245">
      <w:bodyDiv w:val="1"/>
      <w:marLeft w:val="0"/>
      <w:marRight w:val="0"/>
      <w:marTop w:val="0"/>
      <w:marBottom w:val="0"/>
      <w:divBdr>
        <w:top w:val="none" w:sz="0" w:space="0" w:color="auto"/>
        <w:left w:val="none" w:sz="0" w:space="0" w:color="auto"/>
        <w:bottom w:val="none" w:sz="0" w:space="0" w:color="auto"/>
        <w:right w:val="none" w:sz="0" w:space="0" w:color="auto"/>
      </w:divBdr>
    </w:div>
    <w:div w:id="884878173">
      <w:bodyDiv w:val="1"/>
      <w:marLeft w:val="0"/>
      <w:marRight w:val="0"/>
      <w:marTop w:val="0"/>
      <w:marBottom w:val="0"/>
      <w:divBdr>
        <w:top w:val="none" w:sz="0" w:space="0" w:color="auto"/>
        <w:left w:val="none" w:sz="0" w:space="0" w:color="auto"/>
        <w:bottom w:val="none" w:sz="0" w:space="0" w:color="auto"/>
        <w:right w:val="none" w:sz="0" w:space="0" w:color="auto"/>
      </w:divBdr>
    </w:div>
    <w:div w:id="1030569561">
      <w:bodyDiv w:val="1"/>
      <w:marLeft w:val="0"/>
      <w:marRight w:val="0"/>
      <w:marTop w:val="0"/>
      <w:marBottom w:val="0"/>
      <w:divBdr>
        <w:top w:val="none" w:sz="0" w:space="0" w:color="auto"/>
        <w:left w:val="none" w:sz="0" w:space="0" w:color="auto"/>
        <w:bottom w:val="none" w:sz="0" w:space="0" w:color="auto"/>
        <w:right w:val="none" w:sz="0" w:space="0" w:color="auto"/>
      </w:divBdr>
    </w:div>
    <w:div w:id="1083837299">
      <w:bodyDiv w:val="1"/>
      <w:marLeft w:val="0"/>
      <w:marRight w:val="0"/>
      <w:marTop w:val="0"/>
      <w:marBottom w:val="0"/>
      <w:divBdr>
        <w:top w:val="none" w:sz="0" w:space="0" w:color="auto"/>
        <w:left w:val="none" w:sz="0" w:space="0" w:color="auto"/>
        <w:bottom w:val="none" w:sz="0" w:space="0" w:color="auto"/>
        <w:right w:val="none" w:sz="0" w:space="0" w:color="auto"/>
      </w:divBdr>
      <w:divsChild>
        <w:div w:id="1708874823">
          <w:marLeft w:val="0"/>
          <w:marRight w:val="0"/>
          <w:marTop w:val="0"/>
          <w:marBottom w:val="0"/>
          <w:divBdr>
            <w:top w:val="none" w:sz="0" w:space="0" w:color="auto"/>
            <w:left w:val="none" w:sz="0" w:space="0" w:color="auto"/>
            <w:bottom w:val="none" w:sz="0" w:space="0" w:color="auto"/>
            <w:right w:val="none" w:sz="0" w:space="0" w:color="auto"/>
          </w:divBdr>
        </w:div>
        <w:div w:id="1037898208">
          <w:marLeft w:val="0"/>
          <w:marRight w:val="0"/>
          <w:marTop w:val="0"/>
          <w:marBottom w:val="0"/>
          <w:divBdr>
            <w:top w:val="none" w:sz="0" w:space="0" w:color="auto"/>
            <w:left w:val="none" w:sz="0" w:space="0" w:color="auto"/>
            <w:bottom w:val="none" w:sz="0" w:space="0" w:color="auto"/>
            <w:right w:val="none" w:sz="0" w:space="0" w:color="auto"/>
          </w:divBdr>
        </w:div>
      </w:divsChild>
    </w:div>
    <w:div w:id="1556160867">
      <w:bodyDiv w:val="1"/>
      <w:marLeft w:val="0"/>
      <w:marRight w:val="0"/>
      <w:marTop w:val="0"/>
      <w:marBottom w:val="0"/>
      <w:divBdr>
        <w:top w:val="none" w:sz="0" w:space="0" w:color="auto"/>
        <w:left w:val="none" w:sz="0" w:space="0" w:color="auto"/>
        <w:bottom w:val="none" w:sz="0" w:space="0" w:color="auto"/>
        <w:right w:val="none" w:sz="0" w:space="0" w:color="auto"/>
      </w:divBdr>
      <w:divsChild>
        <w:div w:id="957491799">
          <w:marLeft w:val="0"/>
          <w:marRight w:val="0"/>
          <w:marTop w:val="0"/>
          <w:marBottom w:val="0"/>
          <w:divBdr>
            <w:top w:val="none" w:sz="0" w:space="0" w:color="auto"/>
            <w:left w:val="none" w:sz="0" w:space="0" w:color="auto"/>
            <w:bottom w:val="none" w:sz="0" w:space="0" w:color="auto"/>
            <w:right w:val="none" w:sz="0" w:space="0" w:color="auto"/>
          </w:divBdr>
          <w:divsChild>
            <w:div w:id="1685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87082">
      <w:bodyDiv w:val="1"/>
      <w:marLeft w:val="0"/>
      <w:marRight w:val="0"/>
      <w:marTop w:val="0"/>
      <w:marBottom w:val="0"/>
      <w:divBdr>
        <w:top w:val="none" w:sz="0" w:space="0" w:color="auto"/>
        <w:left w:val="none" w:sz="0" w:space="0" w:color="auto"/>
        <w:bottom w:val="none" w:sz="0" w:space="0" w:color="auto"/>
        <w:right w:val="none" w:sz="0" w:space="0" w:color="auto"/>
      </w:divBdr>
    </w:div>
    <w:div w:id="1664579382">
      <w:bodyDiv w:val="1"/>
      <w:marLeft w:val="0"/>
      <w:marRight w:val="0"/>
      <w:marTop w:val="0"/>
      <w:marBottom w:val="0"/>
      <w:divBdr>
        <w:top w:val="none" w:sz="0" w:space="0" w:color="auto"/>
        <w:left w:val="none" w:sz="0" w:space="0" w:color="auto"/>
        <w:bottom w:val="none" w:sz="0" w:space="0" w:color="auto"/>
        <w:right w:val="none" w:sz="0" w:space="0" w:color="auto"/>
      </w:divBdr>
      <w:divsChild>
        <w:div w:id="362707754">
          <w:marLeft w:val="0"/>
          <w:marRight w:val="0"/>
          <w:marTop w:val="0"/>
          <w:marBottom w:val="0"/>
          <w:divBdr>
            <w:top w:val="none" w:sz="0" w:space="0" w:color="auto"/>
            <w:left w:val="none" w:sz="0" w:space="0" w:color="auto"/>
            <w:bottom w:val="none" w:sz="0" w:space="0" w:color="auto"/>
            <w:right w:val="none" w:sz="0" w:space="0" w:color="auto"/>
          </w:divBdr>
        </w:div>
        <w:div w:id="950093994">
          <w:marLeft w:val="0"/>
          <w:marRight w:val="0"/>
          <w:marTop w:val="0"/>
          <w:marBottom w:val="0"/>
          <w:divBdr>
            <w:top w:val="none" w:sz="0" w:space="0" w:color="auto"/>
            <w:left w:val="none" w:sz="0" w:space="0" w:color="auto"/>
            <w:bottom w:val="none" w:sz="0" w:space="0" w:color="auto"/>
            <w:right w:val="none" w:sz="0" w:space="0" w:color="auto"/>
          </w:divBdr>
        </w:div>
        <w:div w:id="1115446470">
          <w:marLeft w:val="0"/>
          <w:marRight w:val="0"/>
          <w:marTop w:val="0"/>
          <w:marBottom w:val="0"/>
          <w:divBdr>
            <w:top w:val="none" w:sz="0" w:space="0" w:color="auto"/>
            <w:left w:val="none" w:sz="0" w:space="0" w:color="auto"/>
            <w:bottom w:val="none" w:sz="0" w:space="0" w:color="auto"/>
            <w:right w:val="none" w:sz="0" w:space="0" w:color="auto"/>
          </w:divBdr>
        </w:div>
        <w:div w:id="1232816328">
          <w:marLeft w:val="0"/>
          <w:marRight w:val="0"/>
          <w:marTop w:val="0"/>
          <w:marBottom w:val="0"/>
          <w:divBdr>
            <w:top w:val="none" w:sz="0" w:space="0" w:color="auto"/>
            <w:left w:val="none" w:sz="0" w:space="0" w:color="auto"/>
            <w:bottom w:val="none" w:sz="0" w:space="0" w:color="auto"/>
            <w:right w:val="none" w:sz="0" w:space="0" w:color="auto"/>
          </w:divBdr>
        </w:div>
        <w:div w:id="1093862868">
          <w:marLeft w:val="0"/>
          <w:marRight w:val="0"/>
          <w:marTop w:val="0"/>
          <w:marBottom w:val="0"/>
          <w:divBdr>
            <w:top w:val="none" w:sz="0" w:space="0" w:color="auto"/>
            <w:left w:val="none" w:sz="0" w:space="0" w:color="auto"/>
            <w:bottom w:val="none" w:sz="0" w:space="0" w:color="auto"/>
            <w:right w:val="none" w:sz="0" w:space="0" w:color="auto"/>
          </w:divBdr>
        </w:div>
        <w:div w:id="586766378">
          <w:marLeft w:val="0"/>
          <w:marRight w:val="0"/>
          <w:marTop w:val="0"/>
          <w:marBottom w:val="0"/>
          <w:divBdr>
            <w:top w:val="none" w:sz="0" w:space="0" w:color="auto"/>
            <w:left w:val="none" w:sz="0" w:space="0" w:color="auto"/>
            <w:bottom w:val="none" w:sz="0" w:space="0" w:color="auto"/>
            <w:right w:val="none" w:sz="0" w:space="0" w:color="auto"/>
          </w:divBdr>
        </w:div>
        <w:div w:id="1929390126">
          <w:marLeft w:val="0"/>
          <w:marRight w:val="0"/>
          <w:marTop w:val="0"/>
          <w:marBottom w:val="0"/>
          <w:divBdr>
            <w:top w:val="none" w:sz="0" w:space="0" w:color="auto"/>
            <w:left w:val="none" w:sz="0" w:space="0" w:color="auto"/>
            <w:bottom w:val="none" w:sz="0" w:space="0" w:color="auto"/>
            <w:right w:val="none" w:sz="0" w:space="0" w:color="auto"/>
          </w:divBdr>
        </w:div>
        <w:div w:id="120920812">
          <w:marLeft w:val="0"/>
          <w:marRight w:val="0"/>
          <w:marTop w:val="0"/>
          <w:marBottom w:val="0"/>
          <w:divBdr>
            <w:top w:val="none" w:sz="0" w:space="0" w:color="auto"/>
            <w:left w:val="none" w:sz="0" w:space="0" w:color="auto"/>
            <w:bottom w:val="none" w:sz="0" w:space="0" w:color="auto"/>
            <w:right w:val="none" w:sz="0" w:space="0" w:color="auto"/>
          </w:divBdr>
        </w:div>
        <w:div w:id="1335569505">
          <w:marLeft w:val="0"/>
          <w:marRight w:val="0"/>
          <w:marTop w:val="0"/>
          <w:marBottom w:val="0"/>
          <w:divBdr>
            <w:top w:val="none" w:sz="0" w:space="0" w:color="auto"/>
            <w:left w:val="none" w:sz="0" w:space="0" w:color="auto"/>
            <w:bottom w:val="none" w:sz="0" w:space="0" w:color="auto"/>
            <w:right w:val="none" w:sz="0" w:space="0" w:color="auto"/>
          </w:divBdr>
        </w:div>
        <w:div w:id="520970179">
          <w:marLeft w:val="0"/>
          <w:marRight w:val="0"/>
          <w:marTop w:val="0"/>
          <w:marBottom w:val="0"/>
          <w:divBdr>
            <w:top w:val="none" w:sz="0" w:space="0" w:color="auto"/>
            <w:left w:val="none" w:sz="0" w:space="0" w:color="auto"/>
            <w:bottom w:val="none" w:sz="0" w:space="0" w:color="auto"/>
            <w:right w:val="none" w:sz="0" w:space="0" w:color="auto"/>
          </w:divBdr>
        </w:div>
        <w:div w:id="1669479994">
          <w:marLeft w:val="0"/>
          <w:marRight w:val="0"/>
          <w:marTop w:val="0"/>
          <w:marBottom w:val="0"/>
          <w:divBdr>
            <w:top w:val="none" w:sz="0" w:space="0" w:color="auto"/>
            <w:left w:val="none" w:sz="0" w:space="0" w:color="auto"/>
            <w:bottom w:val="none" w:sz="0" w:space="0" w:color="auto"/>
            <w:right w:val="none" w:sz="0" w:space="0" w:color="auto"/>
          </w:divBdr>
        </w:div>
      </w:divsChild>
    </w:div>
    <w:div w:id="1677226076">
      <w:bodyDiv w:val="1"/>
      <w:marLeft w:val="0"/>
      <w:marRight w:val="0"/>
      <w:marTop w:val="0"/>
      <w:marBottom w:val="0"/>
      <w:divBdr>
        <w:top w:val="none" w:sz="0" w:space="0" w:color="auto"/>
        <w:left w:val="none" w:sz="0" w:space="0" w:color="auto"/>
        <w:bottom w:val="none" w:sz="0" w:space="0" w:color="auto"/>
        <w:right w:val="none" w:sz="0" w:space="0" w:color="auto"/>
      </w:divBdr>
    </w:div>
    <w:div w:id="1798452763">
      <w:bodyDiv w:val="1"/>
      <w:marLeft w:val="0"/>
      <w:marRight w:val="0"/>
      <w:marTop w:val="0"/>
      <w:marBottom w:val="0"/>
      <w:divBdr>
        <w:top w:val="none" w:sz="0" w:space="0" w:color="auto"/>
        <w:left w:val="none" w:sz="0" w:space="0" w:color="auto"/>
        <w:bottom w:val="none" w:sz="0" w:space="0" w:color="auto"/>
        <w:right w:val="none" w:sz="0" w:space="0" w:color="auto"/>
      </w:divBdr>
      <w:divsChild>
        <w:div w:id="1140532879">
          <w:marLeft w:val="0"/>
          <w:marRight w:val="0"/>
          <w:marTop w:val="0"/>
          <w:marBottom w:val="0"/>
          <w:divBdr>
            <w:top w:val="none" w:sz="0" w:space="0" w:color="auto"/>
            <w:left w:val="none" w:sz="0" w:space="0" w:color="auto"/>
            <w:bottom w:val="none" w:sz="0" w:space="0" w:color="auto"/>
            <w:right w:val="none" w:sz="0" w:space="0" w:color="auto"/>
          </w:divBdr>
        </w:div>
        <w:div w:id="1106923785">
          <w:marLeft w:val="0"/>
          <w:marRight w:val="0"/>
          <w:marTop w:val="0"/>
          <w:marBottom w:val="0"/>
          <w:divBdr>
            <w:top w:val="none" w:sz="0" w:space="0" w:color="auto"/>
            <w:left w:val="none" w:sz="0" w:space="0" w:color="auto"/>
            <w:bottom w:val="none" w:sz="0" w:space="0" w:color="auto"/>
            <w:right w:val="none" w:sz="0" w:space="0" w:color="auto"/>
          </w:divBdr>
        </w:div>
      </w:divsChild>
    </w:div>
    <w:div w:id="1939287486">
      <w:bodyDiv w:val="1"/>
      <w:marLeft w:val="0"/>
      <w:marRight w:val="0"/>
      <w:marTop w:val="0"/>
      <w:marBottom w:val="0"/>
      <w:divBdr>
        <w:top w:val="none" w:sz="0" w:space="0" w:color="auto"/>
        <w:left w:val="none" w:sz="0" w:space="0" w:color="auto"/>
        <w:bottom w:val="none" w:sz="0" w:space="0" w:color="auto"/>
        <w:right w:val="none" w:sz="0" w:space="0" w:color="auto"/>
      </w:divBdr>
    </w:div>
    <w:div w:id="2066054451">
      <w:bodyDiv w:val="1"/>
      <w:marLeft w:val="0"/>
      <w:marRight w:val="0"/>
      <w:marTop w:val="0"/>
      <w:marBottom w:val="0"/>
      <w:divBdr>
        <w:top w:val="none" w:sz="0" w:space="0" w:color="auto"/>
        <w:left w:val="none" w:sz="0" w:space="0" w:color="auto"/>
        <w:bottom w:val="none" w:sz="0" w:space="0" w:color="auto"/>
        <w:right w:val="none" w:sz="0" w:space="0" w:color="auto"/>
      </w:divBdr>
    </w:div>
    <w:div w:id="211231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8.xml"/><Relationship Id="rId25"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5.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hart" Target="charts/chart14.xml"/><Relationship Id="rId28" Type="http://schemas.openxmlformats.org/officeDocument/2006/relationships/chart" Target="charts/chart19.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werpachowski\Desktop\PROGRAM\wykresy%20do%20programu.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mwerpachowski\Desktop\PROGRAM\wykresy%20do%20programu.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mwerpachowski\Desktop\PROGRAM\wykresy%20do%20programu.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mwerpachowski\Desktop\PROGRAM\wykresy%20do%20programu.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mwerpachowski\Desktop\PROGRAM\wykresy%20do%20programu.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mwerpachowski\Desktop\PROGRAM\wykresy%20do%20programu.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mwerpachowski\Desktop\PROGRAM\wykresy%20do%20programu.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mwerpachowski\Desktop\PROGRAM\wykresy%20do%20programu.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mwerpachowski\Desktop\PROGRAM\wykresy%20do%20programu.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mwerpachowski\Desktop\PROGRAM\wykresy%20do%20programu.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mwerpachowski\Desktop\PROGRAM%20PROO\Plan%20finansowy%20Programu.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werpachowski\Desktop\PROGRAM\wykresy%20do%20programu.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werpachowski\Desktop\PROGRAM\wykresy%20do%20programu.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Zeszyt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4912532808398962"/>
          <c:y val="5.1843832020997377E-2"/>
          <c:w val="0.39238167104111993"/>
          <c:h val="0.89723024205307667"/>
        </c:manualLayout>
      </c:layout>
      <c:barChart>
        <c:barDir val="bar"/>
        <c:grouping val="clustered"/>
        <c:varyColors val="0"/>
        <c:ser>
          <c:idx val="0"/>
          <c:order val="0"/>
          <c:spPr>
            <a:solidFill>
              <a:schemeClr val="accent1"/>
            </a:solidFill>
            <a:ln>
              <a:noFill/>
            </a:ln>
            <a:effectLst/>
          </c:spPr>
          <c:invertIfNegative val="0"/>
          <c:dPt>
            <c:idx val="1"/>
            <c:invertIfNegative val="0"/>
            <c:bubble3D val="0"/>
            <c:spPr>
              <a:solidFill>
                <a:schemeClr val="accent3"/>
              </a:solidFill>
              <a:ln>
                <a:noFill/>
              </a:ln>
              <a:effectLst/>
            </c:spPr>
            <c:extLst xmlns:c16r2="http://schemas.microsoft.com/office/drawing/2015/06/chart">
              <c:ext xmlns:c16="http://schemas.microsoft.com/office/drawing/2014/chart" uri="{C3380CC4-5D6E-409C-BE32-E72D297353CC}">
                <c16:uniqueId val="{00000001-FDAA-4E35-92E7-23F0DB1AE24E}"/>
              </c:ext>
            </c:extLst>
          </c:dPt>
          <c:dPt>
            <c:idx val="3"/>
            <c:invertIfNegative val="0"/>
            <c:bubble3D val="0"/>
            <c:spPr>
              <a:solidFill>
                <a:schemeClr val="accent3"/>
              </a:solidFill>
              <a:ln>
                <a:noFill/>
              </a:ln>
              <a:effectLst/>
            </c:spPr>
            <c:extLst xmlns:c16r2="http://schemas.microsoft.com/office/drawing/2015/06/chart">
              <c:ext xmlns:c16="http://schemas.microsoft.com/office/drawing/2014/chart" uri="{C3380CC4-5D6E-409C-BE32-E72D297353CC}">
                <c16:uniqueId val="{00000003-FDAA-4E35-92E7-23F0DB1AE24E}"/>
              </c:ext>
            </c:extLst>
          </c:dPt>
          <c:dPt>
            <c:idx val="4"/>
            <c:invertIfNegative val="0"/>
            <c:bubble3D val="0"/>
            <c:spPr>
              <a:solidFill>
                <a:schemeClr val="accent3"/>
              </a:solidFill>
              <a:ln>
                <a:noFill/>
              </a:ln>
              <a:effectLst/>
            </c:spPr>
            <c:extLst xmlns:c16r2="http://schemas.microsoft.com/office/drawing/2015/06/chart">
              <c:ext xmlns:c16="http://schemas.microsoft.com/office/drawing/2014/chart" uri="{C3380CC4-5D6E-409C-BE32-E72D297353CC}">
                <c16:uniqueId val="{00000005-FDAA-4E35-92E7-23F0DB1AE24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Arkusz1!$A$8:$A$21</c:f>
              <c:strCache>
                <c:ptCount val="14"/>
                <c:pt idx="0">
                  <c:v>Ogółem organizacje rejestrowe</c:v>
                </c:pt>
                <c:pt idx="1">
                  <c:v>     w tym OPP</c:v>
                </c:pt>
                <c:pt idx="2">
                  <c:v>Stowarzyszenia i podobne organizacje społeczne, fundacje</c:v>
                </c:pt>
                <c:pt idx="3">
                  <c:v>     Stowarzyszenia i podobne organizacje</c:v>
                </c:pt>
                <c:pt idx="4">
                  <c:v>     Fundacje</c:v>
                </c:pt>
                <c:pt idx="5">
                  <c:v>Społeczne podmioty wyznaniowe</c:v>
                </c:pt>
                <c:pt idx="6">
                  <c:v>Samorząd zawodowy i gospdoarczy</c:v>
                </c:pt>
                <c:pt idx="7">
                  <c:v>     Kółka rolnicze</c:v>
                </c:pt>
                <c:pt idx="8">
                  <c:v>     Pozostałe</c:v>
                </c:pt>
                <c:pt idx="9">
                  <c:v>Organizacje pracodawców</c:v>
                </c:pt>
                <c:pt idx="10">
                  <c:v>Związki zawodowe</c:v>
                </c:pt>
                <c:pt idx="11">
                  <c:v>Partie polityczne</c:v>
                </c:pt>
                <c:pt idx="12">
                  <c:v>Organizacje nierejestrowe</c:v>
                </c:pt>
                <c:pt idx="13">
                  <c:v>Przyparafialne organizacje Kościoła katolickiego</c:v>
                </c:pt>
              </c:strCache>
            </c:strRef>
          </c:cat>
          <c:val>
            <c:numRef>
              <c:f>Arkusz1!$G$8:$G$21</c:f>
              <c:numCache>
                <c:formatCode>0%</c:formatCode>
                <c:ptCount val="14"/>
                <c:pt idx="0">
                  <c:v>0.71</c:v>
                </c:pt>
                <c:pt idx="1">
                  <c:v>0.77</c:v>
                </c:pt>
                <c:pt idx="2">
                  <c:v>0.73</c:v>
                </c:pt>
                <c:pt idx="3">
                  <c:v>0.72</c:v>
                </c:pt>
                <c:pt idx="4">
                  <c:v>0.77</c:v>
                </c:pt>
                <c:pt idx="5">
                  <c:v>0.55000000000000004</c:v>
                </c:pt>
                <c:pt idx="6">
                  <c:v>0.71</c:v>
                </c:pt>
                <c:pt idx="7">
                  <c:v>0.7</c:v>
                </c:pt>
                <c:pt idx="8">
                  <c:v>0.72</c:v>
                </c:pt>
                <c:pt idx="9">
                  <c:v>0.72</c:v>
                </c:pt>
                <c:pt idx="10">
                  <c:v>0.62</c:v>
                </c:pt>
                <c:pt idx="11">
                  <c:v>0.87</c:v>
                </c:pt>
                <c:pt idx="13">
                  <c:v>0.57999999999999996</c:v>
                </c:pt>
              </c:numCache>
            </c:numRef>
          </c:val>
          <c:extLst xmlns:c16r2="http://schemas.microsoft.com/office/drawing/2015/06/chart">
            <c:ext xmlns:c16="http://schemas.microsoft.com/office/drawing/2014/chart" uri="{C3380CC4-5D6E-409C-BE32-E72D297353CC}">
              <c16:uniqueId val="{00000006-FDAA-4E35-92E7-23F0DB1AE24E}"/>
            </c:ext>
          </c:extLst>
        </c:ser>
        <c:dLbls>
          <c:dLblPos val="outEnd"/>
          <c:showLegendKey val="0"/>
          <c:showVal val="1"/>
          <c:showCatName val="0"/>
          <c:showSerName val="0"/>
          <c:showPercent val="0"/>
          <c:showBubbleSize val="0"/>
        </c:dLbls>
        <c:gapWidth val="60"/>
        <c:axId val="161416704"/>
        <c:axId val="182198848"/>
      </c:barChart>
      <c:catAx>
        <c:axId val="1614167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crossAx val="182198848"/>
        <c:crosses val="autoZero"/>
        <c:auto val="1"/>
        <c:lblAlgn val="ctr"/>
        <c:lblOffset val="100"/>
        <c:noMultiLvlLbl val="0"/>
      </c:catAx>
      <c:valAx>
        <c:axId val="182198848"/>
        <c:scaling>
          <c:orientation val="minMax"/>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614167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mj-lt"/>
        </a:defRPr>
      </a:pPr>
      <a:endParaRPr lang="pl-PL"/>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Arkusz10!$A$10:$F$10</c:f>
              <c:strCache>
                <c:ptCount val="6"/>
                <c:pt idx="0">
                  <c:v>Krajowe i zagraniczne środki publiczne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pl-P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Arkusz10!$G$9:$L$9</c:f>
              <c:numCache>
                <c:formatCode>General</c:formatCode>
                <c:ptCount val="6"/>
                <c:pt idx="0">
                  <c:v>2003</c:v>
                </c:pt>
                <c:pt idx="1">
                  <c:v>2005</c:v>
                </c:pt>
                <c:pt idx="2">
                  <c:v>2007</c:v>
                </c:pt>
                <c:pt idx="3">
                  <c:v>2009</c:v>
                </c:pt>
                <c:pt idx="4">
                  <c:v>2011</c:v>
                </c:pt>
                <c:pt idx="5">
                  <c:v>2014</c:v>
                </c:pt>
              </c:numCache>
            </c:numRef>
          </c:cat>
          <c:val>
            <c:numRef>
              <c:f>Arkusz10!$G$10:$L$10</c:f>
              <c:numCache>
                <c:formatCode>0%</c:formatCode>
                <c:ptCount val="6"/>
                <c:pt idx="0">
                  <c:v>0.33</c:v>
                </c:pt>
                <c:pt idx="1">
                  <c:v>0.42</c:v>
                </c:pt>
                <c:pt idx="2">
                  <c:v>0.56999999999999995</c:v>
                </c:pt>
                <c:pt idx="3">
                  <c:v>0.47</c:v>
                </c:pt>
                <c:pt idx="4">
                  <c:v>0.51</c:v>
                </c:pt>
                <c:pt idx="5">
                  <c:v>0.55000000000000004</c:v>
                </c:pt>
              </c:numCache>
            </c:numRef>
          </c:val>
          <c:smooth val="0"/>
          <c:extLst xmlns:c16r2="http://schemas.microsoft.com/office/drawing/2015/06/chart">
            <c:ext xmlns:c16="http://schemas.microsoft.com/office/drawing/2014/chart" uri="{C3380CC4-5D6E-409C-BE32-E72D297353CC}">
              <c16:uniqueId val="{00000000-8894-4201-981F-EE6132D4B048}"/>
            </c:ext>
          </c:extLst>
        </c:ser>
        <c:ser>
          <c:idx val="1"/>
          <c:order val="1"/>
          <c:tx>
            <c:strRef>
              <c:f>Arkusz10!$A$11:$F$11</c:f>
              <c:strCache>
                <c:ptCount val="6"/>
                <c:pt idx="0">
                  <c:v>Działalność ekonomiczna i przychody z własnego majątku</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dLblPos val="b"/>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894-4201-981F-EE6132D4B048}"/>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pl-P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Arkusz10!$G$9:$L$9</c:f>
              <c:numCache>
                <c:formatCode>General</c:formatCode>
                <c:ptCount val="6"/>
                <c:pt idx="0">
                  <c:v>2003</c:v>
                </c:pt>
                <c:pt idx="1">
                  <c:v>2005</c:v>
                </c:pt>
                <c:pt idx="2">
                  <c:v>2007</c:v>
                </c:pt>
                <c:pt idx="3">
                  <c:v>2009</c:v>
                </c:pt>
                <c:pt idx="4">
                  <c:v>2011</c:v>
                </c:pt>
                <c:pt idx="5">
                  <c:v>2014</c:v>
                </c:pt>
              </c:numCache>
            </c:numRef>
          </c:cat>
          <c:val>
            <c:numRef>
              <c:f>Arkusz10!$G$11:$L$11</c:f>
              <c:numCache>
                <c:formatCode>0%</c:formatCode>
                <c:ptCount val="6"/>
                <c:pt idx="0">
                  <c:v>0.28999999999999998</c:v>
                </c:pt>
                <c:pt idx="1">
                  <c:v>0.28999999999999998</c:v>
                </c:pt>
                <c:pt idx="2">
                  <c:v>0.14000000000000001</c:v>
                </c:pt>
                <c:pt idx="3">
                  <c:v>0.23</c:v>
                </c:pt>
                <c:pt idx="4">
                  <c:v>0.2</c:v>
                </c:pt>
                <c:pt idx="5">
                  <c:v>0.16</c:v>
                </c:pt>
              </c:numCache>
            </c:numRef>
          </c:val>
          <c:smooth val="0"/>
          <c:extLst xmlns:c16r2="http://schemas.microsoft.com/office/drawing/2015/06/chart">
            <c:ext xmlns:c16="http://schemas.microsoft.com/office/drawing/2014/chart" uri="{C3380CC4-5D6E-409C-BE32-E72D297353CC}">
              <c16:uniqueId val="{00000002-8894-4201-981F-EE6132D4B048}"/>
            </c:ext>
          </c:extLst>
        </c:ser>
        <c:ser>
          <c:idx val="2"/>
          <c:order val="2"/>
          <c:tx>
            <c:strRef>
              <c:f>Arkusz10!$A$12:$F$12</c:f>
              <c:strCache>
                <c:ptCount val="6"/>
                <c:pt idx="0">
                  <c:v>Filantropia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2"/>
              <c:delete val="1"/>
              <c:extLst xmlns:c16r2="http://schemas.microsoft.com/office/drawing/2015/06/chart">
                <c:ext xmlns:c16="http://schemas.microsoft.com/office/drawing/2014/chart" uri="{C3380CC4-5D6E-409C-BE32-E72D297353CC}">
                  <c16:uniqueId val="{00000003-8894-4201-981F-EE6132D4B04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pl-PL"/>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Arkusz10!$G$9:$L$9</c:f>
              <c:numCache>
                <c:formatCode>General</c:formatCode>
                <c:ptCount val="6"/>
                <c:pt idx="0">
                  <c:v>2003</c:v>
                </c:pt>
                <c:pt idx="1">
                  <c:v>2005</c:v>
                </c:pt>
                <c:pt idx="2">
                  <c:v>2007</c:v>
                </c:pt>
                <c:pt idx="3">
                  <c:v>2009</c:v>
                </c:pt>
                <c:pt idx="4">
                  <c:v>2011</c:v>
                </c:pt>
                <c:pt idx="5">
                  <c:v>2014</c:v>
                </c:pt>
              </c:numCache>
            </c:numRef>
          </c:cat>
          <c:val>
            <c:numRef>
              <c:f>Arkusz10!$G$12:$L$12</c:f>
              <c:numCache>
                <c:formatCode>0%</c:formatCode>
                <c:ptCount val="6"/>
                <c:pt idx="0">
                  <c:v>0.13</c:v>
                </c:pt>
                <c:pt idx="1">
                  <c:v>0.12</c:v>
                </c:pt>
                <c:pt idx="2">
                  <c:v>0.14000000000000001</c:v>
                </c:pt>
                <c:pt idx="3">
                  <c:v>0.11</c:v>
                </c:pt>
                <c:pt idx="4">
                  <c:v>0.11</c:v>
                </c:pt>
                <c:pt idx="5">
                  <c:v>0.13</c:v>
                </c:pt>
              </c:numCache>
            </c:numRef>
          </c:val>
          <c:smooth val="0"/>
          <c:extLst xmlns:c16r2="http://schemas.microsoft.com/office/drawing/2015/06/chart">
            <c:ext xmlns:c16="http://schemas.microsoft.com/office/drawing/2014/chart" uri="{C3380CC4-5D6E-409C-BE32-E72D297353CC}">
              <c16:uniqueId val="{00000004-8894-4201-981F-EE6132D4B048}"/>
            </c:ext>
          </c:extLst>
        </c:ser>
        <c:dLbls>
          <c:showLegendKey val="0"/>
          <c:showVal val="0"/>
          <c:showCatName val="0"/>
          <c:showSerName val="0"/>
          <c:showPercent val="0"/>
          <c:showBubbleSize val="0"/>
        </c:dLbls>
        <c:marker val="1"/>
        <c:smooth val="0"/>
        <c:axId val="161574400"/>
        <c:axId val="182820160"/>
      </c:lineChart>
      <c:catAx>
        <c:axId val="161574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crossAx val="182820160"/>
        <c:crosses val="autoZero"/>
        <c:auto val="1"/>
        <c:lblAlgn val="ctr"/>
        <c:lblOffset val="100"/>
        <c:noMultiLvlLbl val="0"/>
      </c:catAx>
      <c:valAx>
        <c:axId val="1828201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crossAx val="161574400"/>
        <c:crosses val="autoZero"/>
        <c:crossBetween val="between"/>
      </c:valAx>
      <c:spPr>
        <a:noFill/>
        <a:ln>
          <a:noFill/>
        </a:ln>
        <a:effectLst/>
      </c:spPr>
    </c:plotArea>
    <c:legend>
      <c:legendPos val="b"/>
      <c:layout>
        <c:manualLayout>
          <c:xMode val="edge"/>
          <c:yMode val="edge"/>
          <c:x val="3.5854118014740988E-4"/>
          <c:y val="0.77176490221959237"/>
          <c:w val="0.9573862847222222"/>
          <c:h val="0.227432195975503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latin typeface="+mj-lt"/>
        </a:defRPr>
      </a:pPr>
      <a:endParaRPr lang="pl-PL"/>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4"/>
          <c:order val="0"/>
          <c:tx>
            <c:strRef>
              <c:f>Arkusz11!$F$6</c:f>
              <c:strCache>
                <c:ptCount val="1"/>
                <c:pt idx="0">
                  <c:v>Lokal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Arkusz11!$A$7:$A$13</c:f>
              <c:strCache>
                <c:ptCount val="7"/>
                <c:pt idx="0">
                  <c:v>Ogółem</c:v>
                </c:pt>
                <c:pt idx="1">
                  <c:v>Stowarzyszenie i podobne organizacje społeczne w tym:</c:v>
                </c:pt>
                <c:pt idx="2">
                  <c:v>typowe stowarzyszenia i organizacje społeczne</c:v>
                </c:pt>
                <c:pt idx="3">
                  <c:v>stowarzyszenia sportowe</c:v>
                </c:pt>
                <c:pt idx="4">
                  <c:v>ochotnicze straże pożarne</c:v>
                </c:pt>
                <c:pt idx="5">
                  <c:v>koła łowieckie</c:v>
                </c:pt>
                <c:pt idx="6">
                  <c:v>Fundacje</c:v>
                </c:pt>
              </c:strCache>
            </c:strRef>
          </c:cat>
          <c:val>
            <c:numRef>
              <c:f>Arkusz11!$F$7:$F$13</c:f>
              <c:numCache>
                <c:formatCode>0%</c:formatCode>
                <c:ptCount val="7"/>
                <c:pt idx="0">
                  <c:v>0.61</c:v>
                </c:pt>
                <c:pt idx="1">
                  <c:v>0.61</c:v>
                </c:pt>
                <c:pt idx="2">
                  <c:v>0.56999999999999995</c:v>
                </c:pt>
                <c:pt idx="3">
                  <c:v>0.48</c:v>
                </c:pt>
                <c:pt idx="4">
                  <c:v>0.89</c:v>
                </c:pt>
                <c:pt idx="5">
                  <c:v>0.61</c:v>
                </c:pt>
                <c:pt idx="6">
                  <c:v>0.62</c:v>
                </c:pt>
              </c:numCache>
            </c:numRef>
          </c:val>
          <c:extLst xmlns:c16r2="http://schemas.microsoft.com/office/drawing/2015/06/chart">
            <c:ext xmlns:c16="http://schemas.microsoft.com/office/drawing/2014/chart" uri="{C3380CC4-5D6E-409C-BE32-E72D297353CC}">
              <c16:uniqueId val="{00000000-B86A-4787-816C-706C1B7F0BDD}"/>
            </c:ext>
          </c:extLst>
        </c:ser>
        <c:ser>
          <c:idx val="5"/>
          <c:order val="1"/>
          <c:tx>
            <c:strRef>
              <c:f>Arkusz11!$G$6</c:f>
              <c:strCache>
                <c:ptCount val="1"/>
                <c:pt idx="0">
                  <c:v>Samochód</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Arkusz11!$A$7:$A$13</c:f>
              <c:strCache>
                <c:ptCount val="7"/>
                <c:pt idx="0">
                  <c:v>Ogółem</c:v>
                </c:pt>
                <c:pt idx="1">
                  <c:v>Stowarzyszenie i podobne organizacje społeczne w tym:</c:v>
                </c:pt>
                <c:pt idx="2">
                  <c:v>typowe stowarzyszenia i organizacje społeczne</c:v>
                </c:pt>
                <c:pt idx="3">
                  <c:v>stowarzyszenia sportowe</c:v>
                </c:pt>
                <c:pt idx="4">
                  <c:v>ochotnicze straże pożarne</c:v>
                </c:pt>
                <c:pt idx="5">
                  <c:v>koła łowieckie</c:v>
                </c:pt>
                <c:pt idx="6">
                  <c:v>Fundacje</c:v>
                </c:pt>
              </c:strCache>
            </c:strRef>
          </c:cat>
          <c:val>
            <c:numRef>
              <c:f>Arkusz11!$G$7:$G$13</c:f>
              <c:numCache>
                <c:formatCode>0%</c:formatCode>
                <c:ptCount val="7"/>
                <c:pt idx="0">
                  <c:v>0.21</c:v>
                </c:pt>
                <c:pt idx="1">
                  <c:v>0.22</c:v>
                </c:pt>
                <c:pt idx="2">
                  <c:v>7.0000000000000007E-2</c:v>
                </c:pt>
                <c:pt idx="3">
                  <c:v>0.05</c:v>
                </c:pt>
                <c:pt idx="4">
                  <c:v>0.83</c:v>
                </c:pt>
                <c:pt idx="5">
                  <c:v>0.05</c:v>
                </c:pt>
                <c:pt idx="6">
                  <c:v>0.15</c:v>
                </c:pt>
              </c:numCache>
            </c:numRef>
          </c:val>
          <c:extLst xmlns:c16r2="http://schemas.microsoft.com/office/drawing/2015/06/chart">
            <c:ext xmlns:c16="http://schemas.microsoft.com/office/drawing/2014/chart" uri="{C3380CC4-5D6E-409C-BE32-E72D297353CC}">
              <c16:uniqueId val="{00000001-B86A-4787-816C-706C1B7F0BDD}"/>
            </c:ext>
          </c:extLst>
        </c:ser>
        <c:ser>
          <c:idx val="6"/>
          <c:order val="2"/>
          <c:tx>
            <c:strRef>
              <c:f>Arkusz11!$H$6</c:f>
              <c:strCache>
                <c:ptCount val="1"/>
                <c:pt idx="0">
                  <c:v>Komputer</c:v>
                </c:pt>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Arkusz11!$A$7:$A$13</c:f>
              <c:strCache>
                <c:ptCount val="7"/>
                <c:pt idx="0">
                  <c:v>Ogółem</c:v>
                </c:pt>
                <c:pt idx="1">
                  <c:v>Stowarzyszenie i podobne organizacje społeczne w tym:</c:v>
                </c:pt>
                <c:pt idx="2">
                  <c:v>typowe stowarzyszenia i organizacje społeczne</c:v>
                </c:pt>
                <c:pt idx="3">
                  <c:v>stowarzyszenia sportowe</c:v>
                </c:pt>
                <c:pt idx="4">
                  <c:v>ochotnicze straże pożarne</c:v>
                </c:pt>
                <c:pt idx="5">
                  <c:v>koła łowieckie</c:v>
                </c:pt>
                <c:pt idx="6">
                  <c:v>Fundacje</c:v>
                </c:pt>
              </c:strCache>
            </c:strRef>
          </c:cat>
          <c:val>
            <c:numRef>
              <c:f>Arkusz11!$H$7:$H$13</c:f>
              <c:numCache>
                <c:formatCode>0%</c:formatCode>
                <c:ptCount val="7"/>
                <c:pt idx="0">
                  <c:v>0.28000000000000003</c:v>
                </c:pt>
                <c:pt idx="1">
                  <c:v>0.26</c:v>
                </c:pt>
                <c:pt idx="2">
                  <c:v>0.34</c:v>
                </c:pt>
                <c:pt idx="3">
                  <c:v>0.17</c:v>
                </c:pt>
                <c:pt idx="4">
                  <c:v>0.18</c:v>
                </c:pt>
                <c:pt idx="5">
                  <c:v>0.15</c:v>
                </c:pt>
                <c:pt idx="6">
                  <c:v>0.46</c:v>
                </c:pt>
              </c:numCache>
            </c:numRef>
          </c:val>
          <c:extLst xmlns:c16r2="http://schemas.microsoft.com/office/drawing/2015/06/chart">
            <c:ext xmlns:c16="http://schemas.microsoft.com/office/drawing/2014/chart" uri="{C3380CC4-5D6E-409C-BE32-E72D297353CC}">
              <c16:uniqueId val="{00000002-B86A-4787-816C-706C1B7F0BDD}"/>
            </c:ext>
          </c:extLst>
        </c:ser>
        <c:dLbls>
          <c:showLegendKey val="0"/>
          <c:showVal val="0"/>
          <c:showCatName val="0"/>
          <c:showSerName val="0"/>
          <c:showPercent val="0"/>
          <c:showBubbleSize val="0"/>
        </c:dLbls>
        <c:gapWidth val="45"/>
        <c:axId val="161425408"/>
        <c:axId val="187500224"/>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Arkusz11!$B$6</c15:sqref>
                        </c15:formulaRef>
                      </c:ext>
                    </c:extLst>
                    <c:strCache>
                      <c:ptCount val="1"/>
                    </c:strCache>
                  </c:strRef>
                </c:tx>
                <c:spPr>
                  <a:solidFill>
                    <a:schemeClr val="accent6"/>
                  </a:solidFill>
                  <a:ln>
                    <a:noFill/>
                  </a:ln>
                  <a:effectLst/>
                </c:spPr>
                <c:invertIfNegative val="0"/>
                <c:cat>
                  <c:strRef>
                    <c:extLst xmlns:c16r2="http://schemas.microsoft.com/office/drawing/2015/06/chart">
                      <c:ext uri="{02D57815-91ED-43cb-92C2-25804820EDAC}">
                        <c15:formulaRef>
                          <c15:sqref>Arkusz11!$A$7:$A$13</c15:sqref>
                        </c15:formulaRef>
                      </c:ext>
                    </c:extLst>
                    <c:strCache>
                      <c:ptCount val="7"/>
                      <c:pt idx="0">
                        <c:v>Ogółem</c:v>
                      </c:pt>
                      <c:pt idx="1">
                        <c:v>Stowarzyszenie i podobne organizacje społeczne w tym:</c:v>
                      </c:pt>
                      <c:pt idx="2">
                        <c:v>typowe stowarzyszenia i organizacje społeczne</c:v>
                      </c:pt>
                      <c:pt idx="3">
                        <c:v>stowarzyszenia sportowe</c:v>
                      </c:pt>
                      <c:pt idx="4">
                        <c:v>ochotnicze straże pożarne</c:v>
                      </c:pt>
                      <c:pt idx="5">
                        <c:v>koła łowieckie</c:v>
                      </c:pt>
                      <c:pt idx="6">
                        <c:v>Fundacje</c:v>
                      </c:pt>
                    </c:strCache>
                  </c:strRef>
                </c:cat>
                <c:val>
                  <c:numRef>
                    <c:extLst xmlns:c16r2="http://schemas.microsoft.com/office/drawing/2015/06/chart">
                      <c:ext uri="{02D57815-91ED-43cb-92C2-25804820EDAC}">
                        <c15:formulaRef>
                          <c15:sqref>Arkusz11!$B$7:$B$13</c15:sqref>
                        </c15:formulaRef>
                      </c:ext>
                    </c:extLst>
                    <c:numCache>
                      <c:formatCode>General</c:formatCode>
                      <c:ptCount val="7"/>
                    </c:numCache>
                  </c:numRef>
                </c:val>
                <c:extLst xmlns:c16r2="http://schemas.microsoft.com/office/drawing/2015/06/chart">
                  <c:ext xmlns:c16="http://schemas.microsoft.com/office/drawing/2014/chart" uri="{C3380CC4-5D6E-409C-BE32-E72D297353CC}">
                    <c16:uniqueId val="{00000003-B86A-4787-816C-706C1B7F0BDD}"/>
                  </c:ext>
                </c:extLst>
              </c15:ser>
            </c15:filteredBarSeries>
            <c15:filteredBarSeries>
              <c15:ser>
                <c:idx val="1"/>
                <c:order val="1"/>
                <c:tx>
                  <c:strRef>
                    <c:extLst xmlns:c15="http://schemas.microsoft.com/office/drawing/2012/chart" xmlns:c16r2="http://schemas.microsoft.com/office/drawing/2015/06/chart">
                      <c:ext xmlns:c15="http://schemas.microsoft.com/office/drawing/2012/chart" uri="{02D57815-91ED-43cb-92C2-25804820EDAC}">
                        <c15:formulaRef>
                          <c15:sqref>Arkusz11!$C$6</c15:sqref>
                        </c15:formulaRef>
                      </c:ext>
                    </c:extLst>
                    <c:strCache>
                      <c:ptCount val="1"/>
                    </c:strCache>
                  </c:strRef>
                </c:tx>
                <c:spPr>
                  <a:solidFill>
                    <a:schemeClr val="accent5"/>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Arkusz11!$A$7:$A$13</c15:sqref>
                        </c15:formulaRef>
                      </c:ext>
                    </c:extLst>
                    <c:strCache>
                      <c:ptCount val="7"/>
                      <c:pt idx="0">
                        <c:v>Ogółem</c:v>
                      </c:pt>
                      <c:pt idx="1">
                        <c:v>Stowarzyszenie i podobne organizacje społeczne w tym:</c:v>
                      </c:pt>
                      <c:pt idx="2">
                        <c:v>typowe stowarzyszenia i organizacje społeczne</c:v>
                      </c:pt>
                      <c:pt idx="3">
                        <c:v>stowarzyszenia sportowe</c:v>
                      </c:pt>
                      <c:pt idx="4">
                        <c:v>ochotnicze straże pożarne</c:v>
                      </c:pt>
                      <c:pt idx="5">
                        <c:v>koła łowieckie</c:v>
                      </c:pt>
                      <c:pt idx="6">
                        <c:v>Fundacje</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Arkusz11!$C$7:$C$13</c15:sqref>
                        </c15:formulaRef>
                      </c:ext>
                    </c:extLst>
                    <c:numCache>
                      <c:formatCode>General</c:formatCode>
                      <c:ptCount val="7"/>
                    </c:numCache>
                  </c:numRef>
                </c:val>
                <c:extLst xmlns:c15="http://schemas.microsoft.com/office/drawing/2012/chart" xmlns:c16r2="http://schemas.microsoft.com/office/drawing/2015/06/chart">
                  <c:ext xmlns:c16="http://schemas.microsoft.com/office/drawing/2014/chart" uri="{C3380CC4-5D6E-409C-BE32-E72D297353CC}">
                    <c16:uniqueId val="{00000004-B86A-4787-816C-706C1B7F0BDD}"/>
                  </c:ext>
                </c:extLst>
              </c15:ser>
            </c15:filteredBarSeries>
            <c15:filteredBarSeries>
              <c15:ser>
                <c:idx val="2"/>
                <c:order val="2"/>
                <c:tx>
                  <c:strRef>
                    <c:extLst xmlns:c15="http://schemas.microsoft.com/office/drawing/2012/chart" xmlns:c16r2="http://schemas.microsoft.com/office/drawing/2015/06/chart">
                      <c:ext xmlns:c15="http://schemas.microsoft.com/office/drawing/2012/chart" uri="{02D57815-91ED-43cb-92C2-25804820EDAC}">
                        <c15:formulaRef>
                          <c15:sqref>Arkusz11!$D$6</c15:sqref>
                        </c15:formulaRef>
                      </c:ext>
                    </c:extLst>
                    <c:strCache>
                      <c:ptCount val="1"/>
                    </c:strCache>
                  </c:strRef>
                </c:tx>
                <c:spPr>
                  <a:solidFill>
                    <a:schemeClr val="accent4"/>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Arkusz11!$A$7:$A$13</c15:sqref>
                        </c15:formulaRef>
                      </c:ext>
                    </c:extLst>
                    <c:strCache>
                      <c:ptCount val="7"/>
                      <c:pt idx="0">
                        <c:v>Ogółem</c:v>
                      </c:pt>
                      <c:pt idx="1">
                        <c:v>Stowarzyszenie i podobne organizacje społeczne w tym:</c:v>
                      </c:pt>
                      <c:pt idx="2">
                        <c:v>typowe stowarzyszenia i organizacje społeczne</c:v>
                      </c:pt>
                      <c:pt idx="3">
                        <c:v>stowarzyszenia sportowe</c:v>
                      </c:pt>
                      <c:pt idx="4">
                        <c:v>ochotnicze straże pożarne</c:v>
                      </c:pt>
                      <c:pt idx="5">
                        <c:v>koła łowieckie</c:v>
                      </c:pt>
                      <c:pt idx="6">
                        <c:v>Fundacje</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Arkusz11!$D$7:$D$13</c15:sqref>
                        </c15:formulaRef>
                      </c:ext>
                    </c:extLst>
                    <c:numCache>
                      <c:formatCode>General</c:formatCode>
                      <c:ptCount val="7"/>
                    </c:numCache>
                  </c:numRef>
                </c:val>
                <c:extLst xmlns:c15="http://schemas.microsoft.com/office/drawing/2012/chart" xmlns:c16r2="http://schemas.microsoft.com/office/drawing/2015/06/chart">
                  <c:ext xmlns:c16="http://schemas.microsoft.com/office/drawing/2014/chart" uri="{C3380CC4-5D6E-409C-BE32-E72D297353CC}">
                    <c16:uniqueId val="{00000005-B86A-4787-816C-706C1B7F0BDD}"/>
                  </c:ext>
                </c:extLst>
              </c15:ser>
            </c15:filteredBarSeries>
            <c15:filteredBar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Arkusz11!$E$6</c15:sqref>
                        </c15:formulaRef>
                      </c:ext>
                    </c:extLst>
                    <c:strCache>
                      <c:ptCount val="1"/>
                    </c:strCache>
                  </c:strRef>
                </c:tx>
                <c:spPr>
                  <a:solidFill>
                    <a:schemeClr val="accent6">
                      <a:lumMod val="60000"/>
                    </a:schemeClr>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Arkusz11!$A$7:$A$13</c15:sqref>
                        </c15:formulaRef>
                      </c:ext>
                    </c:extLst>
                    <c:strCache>
                      <c:ptCount val="7"/>
                      <c:pt idx="0">
                        <c:v>Ogółem</c:v>
                      </c:pt>
                      <c:pt idx="1">
                        <c:v>Stowarzyszenie i podobne organizacje społeczne w tym:</c:v>
                      </c:pt>
                      <c:pt idx="2">
                        <c:v>typowe stowarzyszenia i organizacje społeczne</c:v>
                      </c:pt>
                      <c:pt idx="3">
                        <c:v>stowarzyszenia sportowe</c:v>
                      </c:pt>
                      <c:pt idx="4">
                        <c:v>ochotnicze straże pożarne</c:v>
                      </c:pt>
                      <c:pt idx="5">
                        <c:v>koła łowieckie</c:v>
                      </c:pt>
                      <c:pt idx="6">
                        <c:v>Fundacje</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Arkusz11!$E$7:$E$13</c15:sqref>
                        </c15:formulaRef>
                      </c:ext>
                    </c:extLst>
                    <c:numCache>
                      <c:formatCode>General</c:formatCode>
                      <c:ptCount val="7"/>
                    </c:numCache>
                  </c:numRef>
                </c:val>
                <c:extLst xmlns:c15="http://schemas.microsoft.com/office/drawing/2012/chart" xmlns:c16r2="http://schemas.microsoft.com/office/drawing/2015/06/chart">
                  <c:ext xmlns:c16="http://schemas.microsoft.com/office/drawing/2014/chart" uri="{C3380CC4-5D6E-409C-BE32-E72D297353CC}">
                    <c16:uniqueId val="{00000006-B86A-4787-816C-706C1B7F0BDD}"/>
                  </c:ext>
                </c:extLst>
              </c15:ser>
            </c15:filteredBarSeries>
          </c:ext>
        </c:extLst>
      </c:barChart>
      <c:catAx>
        <c:axId val="16142540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crossAx val="187500224"/>
        <c:crosses val="autoZero"/>
        <c:auto val="1"/>
        <c:lblAlgn val="ctr"/>
        <c:lblOffset val="100"/>
        <c:noMultiLvlLbl val="0"/>
      </c:catAx>
      <c:valAx>
        <c:axId val="187500224"/>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crossAx val="161425408"/>
        <c:crosses val="autoZero"/>
        <c:crossBetween val="between"/>
        <c:majorUnit val="0.2"/>
      </c:valAx>
      <c:spPr>
        <a:noFill/>
        <a:ln>
          <a:noFill/>
        </a:ln>
        <a:effectLst/>
      </c:spPr>
    </c:plotArea>
    <c:legend>
      <c:legendPos val="b"/>
      <c:layout>
        <c:manualLayout>
          <c:xMode val="edge"/>
          <c:yMode val="edge"/>
          <c:x val="0.58764322916666667"/>
          <c:y val="0.89949447228187385"/>
          <c:w val="0.32419427083333335"/>
          <c:h val="5.87471474681852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latin typeface="+mj-lt"/>
        </a:defRPr>
      </a:pPr>
      <a:endParaRPr lang="pl-PL"/>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019444444444442"/>
          <c:y val="7.407407407407407E-2"/>
          <c:w val="0.46059011373578301"/>
          <c:h val="0.8416746864975212"/>
        </c:manualLayout>
      </c:layout>
      <c:barChart>
        <c:barDir val="bar"/>
        <c:grouping val="clustered"/>
        <c:varyColors val="0"/>
        <c:ser>
          <c:idx val="5"/>
          <c:order val="0"/>
          <c:spPr>
            <a:solidFill>
              <a:schemeClr val="accent6"/>
            </a:solidFill>
            <a:ln>
              <a:noFill/>
            </a:ln>
            <a:effectLst/>
          </c:spPr>
          <c:invertIfNegative val="0"/>
          <c:dPt>
            <c:idx val="3"/>
            <c:invertIfNegative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1-6BAC-4210-B22A-2D812597479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Arkusz12!$A$7:$A$10</c:f>
              <c:strCache>
                <c:ptCount val="4"/>
                <c:pt idx="0">
                  <c:v>Organizacje o przychodach do 100 tys. zł</c:v>
                </c:pt>
                <c:pt idx="1">
                  <c:v>Organizacje o przychodach między 100 tys. a 1 mln zł</c:v>
                </c:pt>
                <c:pt idx="2">
                  <c:v>Organizacje o przychodach powyżej 1 mln zł</c:v>
                </c:pt>
                <c:pt idx="3">
                  <c:v>Cały sektor organizacji pozarządowych</c:v>
                </c:pt>
              </c:strCache>
            </c:strRef>
          </c:cat>
          <c:val>
            <c:numRef>
              <c:f>Arkusz12!$G$7:$G$10</c:f>
              <c:numCache>
                <c:formatCode>0%</c:formatCode>
                <c:ptCount val="4"/>
                <c:pt idx="0">
                  <c:v>0.03</c:v>
                </c:pt>
                <c:pt idx="1">
                  <c:v>0.16</c:v>
                </c:pt>
                <c:pt idx="2">
                  <c:v>0.27</c:v>
                </c:pt>
                <c:pt idx="3">
                  <c:v>7.0000000000000007E-2</c:v>
                </c:pt>
              </c:numCache>
            </c:numRef>
          </c:val>
          <c:extLst xmlns:c16r2="http://schemas.microsoft.com/office/drawing/2015/06/chart">
            <c:ext xmlns:c16="http://schemas.microsoft.com/office/drawing/2014/chart" uri="{C3380CC4-5D6E-409C-BE32-E72D297353CC}">
              <c16:uniqueId val="{00000002-6BAC-4210-B22A-2D8125974795}"/>
            </c:ext>
          </c:extLst>
        </c:ser>
        <c:dLbls>
          <c:showLegendKey val="0"/>
          <c:showVal val="0"/>
          <c:showCatName val="0"/>
          <c:showSerName val="0"/>
          <c:showPercent val="0"/>
          <c:showBubbleSize val="0"/>
        </c:dLbls>
        <c:gapWidth val="60"/>
        <c:axId val="161426432"/>
        <c:axId val="187501952"/>
        <c:extLst xmlns:c16r2="http://schemas.microsoft.com/office/drawing/2015/06/chart">
          <c:ext xmlns:c15="http://schemas.microsoft.com/office/drawing/2012/chart" uri="{02D57815-91ED-43cb-92C2-25804820EDAC}">
            <c15:filteredBarSeries>
              <c15:ser>
                <c:idx val="0"/>
                <c:order val="0"/>
                <c:spPr>
                  <a:solidFill>
                    <a:schemeClr val="accent1"/>
                  </a:solidFill>
                  <a:ln>
                    <a:noFill/>
                  </a:ln>
                  <a:effectLst/>
                </c:spPr>
                <c:invertIfNegative val="0"/>
                <c:cat>
                  <c:strRef>
                    <c:extLst xmlns:c16r2="http://schemas.microsoft.com/office/drawing/2015/06/chart">
                      <c:ext uri="{02D57815-91ED-43cb-92C2-25804820EDAC}">
                        <c15:formulaRef>
                          <c15:sqref>Arkusz12!$A$7:$A$10</c15:sqref>
                        </c15:formulaRef>
                      </c:ext>
                    </c:extLst>
                    <c:strCache>
                      <c:ptCount val="4"/>
                      <c:pt idx="0">
                        <c:v>Organizacje o przychodach do 100 tys. zł</c:v>
                      </c:pt>
                      <c:pt idx="1">
                        <c:v>Organizacje o przychodach między 100 tys. a 1 mln zł</c:v>
                      </c:pt>
                      <c:pt idx="2">
                        <c:v>Organizacje o przychodach powyżej 1 mln zł</c:v>
                      </c:pt>
                      <c:pt idx="3">
                        <c:v>Cały sektor organizacji pozarządowych</c:v>
                      </c:pt>
                    </c:strCache>
                  </c:strRef>
                </c:cat>
                <c:val>
                  <c:numRef>
                    <c:extLst xmlns:c16r2="http://schemas.microsoft.com/office/drawing/2015/06/chart">
                      <c:ext uri="{02D57815-91ED-43cb-92C2-25804820EDAC}">
                        <c15:formulaRef>
                          <c15:sqref>Arkusz12!$B$7:$B$10</c15:sqref>
                        </c15:formulaRef>
                      </c:ext>
                    </c:extLst>
                    <c:numCache>
                      <c:formatCode>General</c:formatCode>
                      <c:ptCount val="4"/>
                    </c:numCache>
                  </c:numRef>
                </c:val>
                <c:extLst xmlns:c16r2="http://schemas.microsoft.com/office/drawing/2015/06/chart">
                  <c:ext xmlns:c16="http://schemas.microsoft.com/office/drawing/2014/chart" uri="{C3380CC4-5D6E-409C-BE32-E72D297353CC}">
                    <c16:uniqueId val="{00000003-6BAC-4210-B22A-2D8125974795}"/>
                  </c:ext>
                </c:extLst>
              </c15:ser>
            </c15:filteredBarSeries>
            <c15:filteredBarSeries>
              <c15:ser>
                <c:idx val="1"/>
                <c:order val="1"/>
                <c:spPr>
                  <a:solidFill>
                    <a:schemeClr val="accent2"/>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Arkusz12!$A$7:$A$10</c15:sqref>
                        </c15:formulaRef>
                      </c:ext>
                    </c:extLst>
                    <c:strCache>
                      <c:ptCount val="4"/>
                      <c:pt idx="0">
                        <c:v>Organizacje o przychodach do 100 tys. zł</c:v>
                      </c:pt>
                      <c:pt idx="1">
                        <c:v>Organizacje o przychodach między 100 tys. a 1 mln zł</c:v>
                      </c:pt>
                      <c:pt idx="2">
                        <c:v>Organizacje o przychodach powyżej 1 mln zł</c:v>
                      </c:pt>
                      <c:pt idx="3">
                        <c:v>Cały sektor organizacji pozarządowych</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Arkusz12!$C$7:$C$10</c15:sqref>
                        </c15:formulaRef>
                      </c:ext>
                    </c:extLst>
                    <c:numCache>
                      <c:formatCode>General</c:formatCode>
                      <c:ptCount val="4"/>
                    </c:numCache>
                  </c:numRef>
                </c:val>
                <c:extLst xmlns:c15="http://schemas.microsoft.com/office/drawing/2012/chart" xmlns:c16r2="http://schemas.microsoft.com/office/drawing/2015/06/chart">
                  <c:ext xmlns:c16="http://schemas.microsoft.com/office/drawing/2014/chart" uri="{C3380CC4-5D6E-409C-BE32-E72D297353CC}">
                    <c16:uniqueId val="{00000004-6BAC-4210-B22A-2D8125974795}"/>
                  </c:ext>
                </c:extLst>
              </c15:ser>
            </c15:filteredBarSeries>
            <c15:filteredBarSeries>
              <c15:ser>
                <c:idx val="2"/>
                <c:order val="2"/>
                <c:spPr>
                  <a:solidFill>
                    <a:schemeClr val="accent3"/>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Arkusz12!$A$7:$A$10</c15:sqref>
                        </c15:formulaRef>
                      </c:ext>
                    </c:extLst>
                    <c:strCache>
                      <c:ptCount val="4"/>
                      <c:pt idx="0">
                        <c:v>Organizacje o przychodach do 100 tys. zł</c:v>
                      </c:pt>
                      <c:pt idx="1">
                        <c:v>Organizacje o przychodach między 100 tys. a 1 mln zł</c:v>
                      </c:pt>
                      <c:pt idx="2">
                        <c:v>Organizacje o przychodach powyżej 1 mln zł</c:v>
                      </c:pt>
                      <c:pt idx="3">
                        <c:v>Cały sektor organizacji pozarządowych</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Arkusz12!$D$7:$D$10</c15:sqref>
                        </c15:formulaRef>
                      </c:ext>
                    </c:extLst>
                    <c:numCache>
                      <c:formatCode>General</c:formatCode>
                      <c:ptCount val="4"/>
                    </c:numCache>
                  </c:numRef>
                </c:val>
                <c:extLst xmlns:c15="http://schemas.microsoft.com/office/drawing/2012/chart" xmlns:c16r2="http://schemas.microsoft.com/office/drawing/2015/06/chart">
                  <c:ext xmlns:c16="http://schemas.microsoft.com/office/drawing/2014/chart" uri="{C3380CC4-5D6E-409C-BE32-E72D297353CC}">
                    <c16:uniqueId val="{00000005-6BAC-4210-B22A-2D8125974795}"/>
                  </c:ext>
                </c:extLst>
              </c15:ser>
            </c15:filteredBarSeries>
            <c15:filteredBarSeries>
              <c15:ser>
                <c:idx val="3"/>
                <c:order val="3"/>
                <c:spPr>
                  <a:solidFill>
                    <a:schemeClr val="accent4"/>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Arkusz12!$A$7:$A$10</c15:sqref>
                        </c15:formulaRef>
                      </c:ext>
                    </c:extLst>
                    <c:strCache>
                      <c:ptCount val="4"/>
                      <c:pt idx="0">
                        <c:v>Organizacje o przychodach do 100 tys. zł</c:v>
                      </c:pt>
                      <c:pt idx="1">
                        <c:v>Organizacje o przychodach między 100 tys. a 1 mln zł</c:v>
                      </c:pt>
                      <c:pt idx="2">
                        <c:v>Organizacje o przychodach powyżej 1 mln zł</c:v>
                      </c:pt>
                      <c:pt idx="3">
                        <c:v>Cały sektor organizacji pozarządowych</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Arkusz12!$E$7:$E$10</c15:sqref>
                        </c15:formulaRef>
                      </c:ext>
                    </c:extLst>
                    <c:numCache>
                      <c:formatCode>General</c:formatCode>
                      <c:ptCount val="4"/>
                    </c:numCache>
                  </c:numRef>
                </c:val>
                <c:extLst xmlns:c15="http://schemas.microsoft.com/office/drawing/2012/chart" xmlns:c16r2="http://schemas.microsoft.com/office/drawing/2015/06/chart">
                  <c:ext xmlns:c16="http://schemas.microsoft.com/office/drawing/2014/chart" uri="{C3380CC4-5D6E-409C-BE32-E72D297353CC}">
                    <c16:uniqueId val="{00000006-6BAC-4210-B22A-2D8125974795}"/>
                  </c:ext>
                </c:extLst>
              </c15:ser>
            </c15:filteredBarSeries>
            <c15:filteredBarSeries>
              <c15:ser>
                <c:idx val="4"/>
                <c:order val="4"/>
                <c:spPr>
                  <a:solidFill>
                    <a:schemeClr val="accent5"/>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Arkusz12!$A$7:$A$10</c15:sqref>
                        </c15:formulaRef>
                      </c:ext>
                    </c:extLst>
                    <c:strCache>
                      <c:ptCount val="4"/>
                      <c:pt idx="0">
                        <c:v>Organizacje o przychodach do 100 tys. zł</c:v>
                      </c:pt>
                      <c:pt idx="1">
                        <c:v>Organizacje o przychodach między 100 tys. a 1 mln zł</c:v>
                      </c:pt>
                      <c:pt idx="2">
                        <c:v>Organizacje o przychodach powyżej 1 mln zł</c:v>
                      </c:pt>
                      <c:pt idx="3">
                        <c:v>Cały sektor organizacji pozarządowych</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Arkusz12!$F$7:$F$10</c15:sqref>
                        </c15:formulaRef>
                      </c:ext>
                    </c:extLst>
                    <c:numCache>
                      <c:formatCode>General</c:formatCode>
                      <c:ptCount val="4"/>
                    </c:numCache>
                  </c:numRef>
                </c:val>
                <c:extLst xmlns:c15="http://schemas.microsoft.com/office/drawing/2012/chart" xmlns:c16r2="http://schemas.microsoft.com/office/drawing/2015/06/chart">
                  <c:ext xmlns:c16="http://schemas.microsoft.com/office/drawing/2014/chart" uri="{C3380CC4-5D6E-409C-BE32-E72D297353CC}">
                    <c16:uniqueId val="{00000007-6BAC-4210-B22A-2D8125974795}"/>
                  </c:ext>
                </c:extLst>
              </c15:ser>
            </c15:filteredBarSeries>
          </c:ext>
        </c:extLst>
      </c:barChart>
      <c:catAx>
        <c:axId val="16142643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crossAx val="187501952"/>
        <c:crosses val="autoZero"/>
        <c:auto val="1"/>
        <c:lblAlgn val="ctr"/>
        <c:lblOffset val="100"/>
        <c:noMultiLvlLbl val="0"/>
      </c:catAx>
      <c:valAx>
        <c:axId val="187501952"/>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crossAx val="1614264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mj-lt"/>
        </a:defRPr>
      </a:pPr>
      <a:endParaRPr lang="pl-PL"/>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Arkusz13!$A$12:$D$12</c:f>
              <c:strCache>
                <c:ptCount val="4"/>
                <c:pt idx="0">
                  <c:v>Średnia liczba członków stowarzyszeń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j-lt"/>
                    <a:ea typeface="+mn-ea"/>
                    <a:cs typeface="+mn-cs"/>
                  </a:defRPr>
                </a:pPr>
                <a:endParaRPr lang="pl-PL"/>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Arkusz13!$E$11:$J$11</c:f>
              <c:numCache>
                <c:formatCode>General</c:formatCode>
                <c:ptCount val="6"/>
                <c:pt idx="0">
                  <c:v>2004</c:v>
                </c:pt>
                <c:pt idx="1">
                  <c:v>2006</c:v>
                </c:pt>
                <c:pt idx="2">
                  <c:v>2008</c:v>
                </c:pt>
                <c:pt idx="3">
                  <c:v>2010</c:v>
                </c:pt>
                <c:pt idx="4">
                  <c:v>2012</c:v>
                </c:pt>
                <c:pt idx="5">
                  <c:v>2015</c:v>
                </c:pt>
              </c:numCache>
            </c:numRef>
          </c:cat>
          <c:val>
            <c:numRef>
              <c:f>Arkusz13!$E$12:$J$12</c:f>
              <c:numCache>
                <c:formatCode>General</c:formatCode>
                <c:ptCount val="6"/>
                <c:pt idx="0">
                  <c:v>42</c:v>
                </c:pt>
                <c:pt idx="1">
                  <c:v>36</c:v>
                </c:pt>
                <c:pt idx="2">
                  <c:v>40</c:v>
                </c:pt>
                <c:pt idx="3">
                  <c:v>35</c:v>
                </c:pt>
                <c:pt idx="4">
                  <c:v>33</c:v>
                </c:pt>
                <c:pt idx="5">
                  <c:v>30</c:v>
                </c:pt>
              </c:numCache>
            </c:numRef>
          </c:val>
          <c:smooth val="0"/>
          <c:extLst xmlns:c16r2="http://schemas.microsoft.com/office/drawing/2015/06/chart">
            <c:ext xmlns:c16="http://schemas.microsoft.com/office/drawing/2014/chart" uri="{C3380CC4-5D6E-409C-BE32-E72D297353CC}">
              <c16:uniqueId val="{00000000-E613-487A-A85D-4507C631C59E}"/>
            </c:ext>
          </c:extLst>
        </c:ser>
        <c:dLbls>
          <c:showLegendKey val="0"/>
          <c:showVal val="0"/>
          <c:showCatName val="0"/>
          <c:showSerName val="0"/>
          <c:showPercent val="0"/>
          <c:showBubbleSize val="0"/>
        </c:dLbls>
        <c:marker val="1"/>
        <c:smooth val="0"/>
        <c:axId val="187483136"/>
        <c:axId val="187503680"/>
      </c:lineChart>
      <c:catAx>
        <c:axId val="187483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crossAx val="187503680"/>
        <c:crosses val="autoZero"/>
        <c:auto val="1"/>
        <c:lblAlgn val="ctr"/>
        <c:lblOffset val="100"/>
        <c:noMultiLvlLbl val="0"/>
      </c:catAx>
      <c:valAx>
        <c:axId val="187503680"/>
        <c:scaling>
          <c:orientation val="minMax"/>
          <c:min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crossAx val="187483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j-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latin typeface="+mj-lt"/>
        </a:defRPr>
      </a:pPr>
      <a:endParaRPr lang="pl-PL"/>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019567840679229E-2"/>
          <c:y val="5.4910336806701557E-2"/>
          <c:w val="0.50032763545130177"/>
          <c:h val="0.90578276517830481"/>
        </c:manualLayout>
      </c:layout>
      <c:doughnutChart>
        <c:varyColors val="1"/>
        <c:ser>
          <c:idx val="1"/>
          <c:order val="0"/>
          <c:tx>
            <c:strRef>
              <c:f>Arkusz14!$E$16</c:f>
              <c:strCache>
                <c:ptCount val="1"/>
                <c:pt idx="0">
                  <c:v>Struktura zatrudnionych</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03F-4DC4-BDB3-6DCCF4748C18}"/>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03F-4DC4-BDB3-6DCCF4748C18}"/>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03F-4DC4-BDB3-6DCCF4748C18}"/>
              </c:ext>
            </c:extLst>
          </c:dPt>
          <c:dLbls>
            <c:dLbl>
              <c:idx val="2"/>
              <c:layout>
                <c:manualLayout>
                  <c:x val="2.2050716648291068E-2"/>
                  <c:y val="-6.7864271457085831E-2"/>
                </c:manualLayout>
              </c:layout>
              <c:tx>
                <c:rich>
                  <a:bodyPr rot="0" spcFirstLastPara="1" vertOverflow="ellipsis" vert="horz" wrap="square" anchor="ctr" anchorCtr="0"/>
                  <a:lstStyle/>
                  <a:p>
                    <a:pPr algn="ctr">
                      <a:defRPr sz="900" b="0" i="0" u="none" strike="noStrike" kern="1200" baseline="0">
                        <a:solidFill>
                          <a:schemeClr val="tx1">
                            <a:lumMod val="75000"/>
                            <a:lumOff val="25000"/>
                          </a:schemeClr>
                        </a:solidFill>
                        <a:latin typeface="+mj-lt"/>
                        <a:ea typeface="+mn-ea"/>
                        <a:cs typeface="+mn-cs"/>
                      </a:defRPr>
                    </a:pPr>
                    <a:r>
                      <a:rPr lang="en-US"/>
                      <a:t>    </a:t>
                    </a:r>
                    <a:fld id="{46C390AB-B708-43AE-AE66-34A14EDDD589}" type="SERIESNAME">
                      <a:rPr lang="en-US"/>
                      <a:pPr algn="ctr">
                        <a:defRPr sz="900" b="0" i="0" u="none" strike="noStrike" kern="1200" baseline="0">
                          <a:solidFill>
                            <a:schemeClr val="tx1">
                              <a:lumMod val="75000"/>
                              <a:lumOff val="25000"/>
                            </a:schemeClr>
                          </a:solidFill>
                          <a:latin typeface="+mj-lt"/>
                          <a:ea typeface="+mn-ea"/>
                          <a:cs typeface="+mn-cs"/>
                        </a:defRPr>
                      </a:pPr>
                      <a:t>[NAZWA SERII]</a:t>
                    </a:fld>
                    <a:r>
                      <a:rPr lang="en-US" baseline="0"/>
                      <a:t> </a:t>
                    </a:r>
                    <a:br>
                      <a:rPr lang="en-US" baseline="0"/>
                    </a:br>
                    <a:r>
                      <a:rPr lang="en-US" baseline="0"/>
                      <a:t/>
                    </a:r>
                    <a:br>
                      <a:rPr lang="en-US" baseline="0"/>
                    </a:br>
                    <a:fld id="{A32823D5-F5F8-4BFB-8F29-2197A7A7C558}" type="VALUE">
                      <a:rPr lang="en-US" baseline="0"/>
                      <a:pPr algn="ctr">
                        <a:defRPr sz="900" b="0" i="0" u="none" strike="noStrike" kern="1200" baseline="0">
                          <a:solidFill>
                            <a:schemeClr val="tx1">
                              <a:lumMod val="75000"/>
                              <a:lumOff val="25000"/>
                            </a:schemeClr>
                          </a:solidFill>
                          <a:latin typeface="+mj-lt"/>
                          <a:ea typeface="+mn-ea"/>
                          <a:cs typeface="+mn-cs"/>
                        </a:defRPr>
                      </a:pPr>
                      <a:t>[WARTOŚĆ]</a:t>
                    </a:fld>
                    <a:endParaRPr lang="en-US" baseline="0"/>
                  </a:p>
                </c:rich>
              </c:tx>
              <c:spPr>
                <a:noFill/>
                <a:ln>
                  <a:noFill/>
                </a:ln>
                <a:effectLst/>
              </c:spPr>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05-603F-4DC4-BDB3-6DCCF4748C18}"/>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Arkusz14!$A$17:$C$19</c:f>
              <c:strCache>
                <c:ptCount val="3"/>
                <c:pt idx="0">
                  <c:v>1 - 5 zatrudnionych</c:v>
                </c:pt>
                <c:pt idx="1">
                  <c:v>6 - 19 zatrudnionych</c:v>
                </c:pt>
                <c:pt idx="2">
                  <c:v>20 zatrudnionych i więcej</c:v>
                </c:pt>
              </c:strCache>
            </c:strRef>
          </c:cat>
          <c:val>
            <c:numRef>
              <c:f>Arkusz14!$E$17:$E$19</c:f>
              <c:numCache>
                <c:formatCode>0%</c:formatCode>
                <c:ptCount val="3"/>
                <c:pt idx="0">
                  <c:v>0.15</c:v>
                </c:pt>
                <c:pt idx="1">
                  <c:v>0.26</c:v>
                </c:pt>
                <c:pt idx="2">
                  <c:v>0.6</c:v>
                </c:pt>
              </c:numCache>
            </c:numRef>
          </c:val>
          <c:extLst xmlns:c16r2="http://schemas.microsoft.com/office/drawing/2015/06/chart">
            <c:ext xmlns:c16="http://schemas.microsoft.com/office/drawing/2014/chart" uri="{C3380CC4-5D6E-409C-BE32-E72D297353CC}">
              <c16:uniqueId val="{00000006-603F-4DC4-BDB3-6DCCF4748C18}"/>
            </c:ext>
          </c:extLst>
        </c:ser>
        <c:ser>
          <c:idx val="0"/>
          <c:order val="1"/>
          <c:tx>
            <c:strRef>
              <c:f>Arkusz14!$D$16</c:f>
              <c:strCache>
                <c:ptCount val="1"/>
                <c:pt idx="0">
                  <c:v>Struktura organizacji</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8-603F-4DC4-BDB3-6DCCF4748C18}"/>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A-603F-4DC4-BDB3-6DCCF4748C18}"/>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C-603F-4DC4-BDB3-6DCCF4748C18}"/>
              </c:ext>
            </c:extLst>
          </c:dPt>
          <c:dLbls>
            <c:dLbl>
              <c:idx val="0"/>
              <c:layout>
                <c:manualLayout>
                  <c:x val="4.8410438496731462E-2"/>
                  <c:y val="-0.38722554890219563"/>
                </c:manualLayout>
              </c:layout>
              <c:tx>
                <c:rich>
                  <a:bodyPr/>
                  <a:lstStyle/>
                  <a:p>
                    <a:fld id="{106D0AA3-5ED3-4545-8C3B-78333920FE00}" type="SERIESNAME">
                      <a:rPr lang="en-US"/>
                      <a:pPr/>
                      <a:t>[NAZWA SERII]</a:t>
                    </a:fld>
                    <a:r>
                      <a:rPr lang="en-US" baseline="0"/>
                      <a:t> </a:t>
                    </a:r>
                    <a:br>
                      <a:rPr lang="en-US" baseline="0"/>
                    </a:br>
                    <a:endParaRPr lang="en-US" baseline="0"/>
                  </a:p>
                  <a:p>
                    <a:r>
                      <a:rPr lang="en-US" baseline="0"/>
                      <a:t>        </a:t>
                    </a:r>
                    <a:fld id="{4E36F458-57D0-4AF5-87D9-BF4D576215EA}" type="VALUE">
                      <a:rPr lang="en-US" baseline="0"/>
                      <a:pPr/>
                      <a:t>[WARTOŚĆ]</a:t>
                    </a:fld>
                    <a:endParaRPr lang="en-US" baseline="0"/>
                  </a:p>
                </c:rich>
              </c:tx>
              <c:showLegendKey val="0"/>
              <c:showVal val="1"/>
              <c:showCatName val="0"/>
              <c:showSerName val="1"/>
              <c:showPercent val="0"/>
              <c:showBubbleSize val="0"/>
              <c:extLst xmlns:c16r2="http://schemas.microsoft.com/office/drawing/2015/06/chart">
                <c:ext xmlns:c16="http://schemas.microsoft.com/office/drawing/2014/chart" uri="{C3380CC4-5D6E-409C-BE32-E72D297353CC}">
                  <c16:uniqueId val="{00000008-603F-4DC4-BDB3-6DCCF4748C18}"/>
                </c:ext>
                <c:ext xmlns:c15="http://schemas.microsoft.com/office/drawing/2012/chart" uri="{CE6537A1-D6FC-4f65-9D91-7224C49458BB}">
                  <c15:layout>
                    <c:manualLayout>
                      <c:w val="0.15296582138919512"/>
                      <c:h val="0.1994810379241517"/>
                    </c:manualLayout>
                  </c15:layout>
                  <c15:dlblFieldTable/>
                  <c15:showDataLabelsRange val="0"/>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j-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Arkusz14!$A$17:$C$19</c:f>
              <c:strCache>
                <c:ptCount val="3"/>
                <c:pt idx="0">
                  <c:v>1 - 5 zatrudnionych</c:v>
                </c:pt>
                <c:pt idx="1">
                  <c:v>6 - 19 zatrudnionych</c:v>
                </c:pt>
                <c:pt idx="2">
                  <c:v>20 zatrudnionych i więcej</c:v>
                </c:pt>
              </c:strCache>
            </c:strRef>
          </c:cat>
          <c:val>
            <c:numRef>
              <c:f>Arkusz14!$D$17:$D$19</c:f>
              <c:numCache>
                <c:formatCode>0%</c:formatCode>
                <c:ptCount val="3"/>
                <c:pt idx="0">
                  <c:v>0.67</c:v>
                </c:pt>
                <c:pt idx="1">
                  <c:v>0.23</c:v>
                </c:pt>
                <c:pt idx="2">
                  <c:v>0.09</c:v>
                </c:pt>
              </c:numCache>
            </c:numRef>
          </c:val>
          <c:extLst xmlns:c16r2="http://schemas.microsoft.com/office/drawing/2015/06/chart">
            <c:ext xmlns:c16="http://schemas.microsoft.com/office/drawing/2014/chart" uri="{C3380CC4-5D6E-409C-BE32-E72D297353CC}">
              <c16:uniqueId val="{0000000D-603F-4DC4-BDB3-6DCCF4748C18}"/>
            </c:ext>
          </c:extLst>
        </c:ser>
        <c:dLbls>
          <c:showLegendKey val="0"/>
          <c:showVal val="0"/>
          <c:showCatName val="0"/>
          <c:showSerName val="0"/>
          <c:showPercent val="0"/>
          <c:showBubbleSize val="0"/>
          <c:showLeaderLines val="0"/>
        </c:dLbls>
        <c:firstSliceAng val="18"/>
        <c:holeSize val="13"/>
      </c:doughnutChart>
      <c:spPr>
        <a:noFill/>
        <a:ln>
          <a:noFill/>
        </a:ln>
        <a:effectLst/>
      </c:spPr>
    </c:plotArea>
    <c:legend>
      <c:legendPos val="b"/>
      <c:layout>
        <c:manualLayout>
          <c:xMode val="edge"/>
          <c:yMode val="edge"/>
          <c:x val="0.63379333096042156"/>
          <c:y val="0.35379194367171168"/>
          <c:w val="0.30132182760506648"/>
          <c:h val="0.31087871501092301"/>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j-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latin typeface="+mj-lt"/>
        </a:defRPr>
      </a:pPr>
      <a:endParaRPr lang="pl-PL"/>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3"/>
          <c:order val="0"/>
          <c:spPr>
            <a:solidFill>
              <a:schemeClr val="accent6"/>
            </a:solidFill>
            <a:ln>
              <a:noFill/>
            </a:ln>
            <a:effectLst/>
          </c:spPr>
          <c:invertIfNegative val="0"/>
          <c:dPt>
            <c:idx val="0"/>
            <c:invertIfNegative val="0"/>
            <c:bubble3D val="0"/>
            <c:spPr>
              <a:solidFill>
                <a:schemeClr val="accent4"/>
              </a:solidFill>
              <a:ln>
                <a:noFill/>
              </a:ln>
              <a:effectLst/>
            </c:spPr>
            <c:extLst xmlns:c16r2="http://schemas.microsoft.com/office/drawing/2015/06/chart">
              <c:ext xmlns:c16="http://schemas.microsoft.com/office/drawing/2014/chart" uri="{C3380CC4-5D6E-409C-BE32-E72D297353CC}">
                <c16:uniqueId val="{00000001-20F8-4151-9683-97884AEF2E5F}"/>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j-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Arkusz15!$A$14:$A$19</c:f>
              <c:strCache>
                <c:ptCount val="6"/>
                <c:pt idx="0">
                  <c:v>Polska</c:v>
                </c:pt>
                <c:pt idx="1">
                  <c:v>Warszawa</c:v>
                </c:pt>
                <c:pt idx="2">
                  <c:v>Miasta powyżej 200 tys. mieszkańców</c:v>
                </c:pt>
                <c:pt idx="3">
                  <c:v>Miasta 50 - 200 tys. mieszkańców</c:v>
                </c:pt>
                <c:pt idx="4">
                  <c:v>Miasta do 50 tys. mieszkańców</c:v>
                </c:pt>
                <c:pt idx="5">
                  <c:v>Wieś</c:v>
                </c:pt>
              </c:strCache>
            </c:strRef>
          </c:cat>
          <c:val>
            <c:numRef>
              <c:f>Arkusz15!$E$14:$E$19</c:f>
              <c:numCache>
                <c:formatCode>#\ ##0\ "zł"</c:formatCode>
                <c:ptCount val="6"/>
                <c:pt idx="0">
                  <c:v>2857</c:v>
                </c:pt>
                <c:pt idx="1">
                  <c:v>3500</c:v>
                </c:pt>
                <c:pt idx="2">
                  <c:v>3200</c:v>
                </c:pt>
                <c:pt idx="3">
                  <c:v>2592</c:v>
                </c:pt>
                <c:pt idx="4">
                  <c:v>2321</c:v>
                </c:pt>
                <c:pt idx="5">
                  <c:v>2500</c:v>
                </c:pt>
              </c:numCache>
            </c:numRef>
          </c:val>
          <c:extLst xmlns:c16r2="http://schemas.microsoft.com/office/drawing/2015/06/chart">
            <c:ext xmlns:c16="http://schemas.microsoft.com/office/drawing/2014/chart" uri="{C3380CC4-5D6E-409C-BE32-E72D297353CC}">
              <c16:uniqueId val="{00000002-20F8-4151-9683-97884AEF2E5F}"/>
            </c:ext>
          </c:extLst>
        </c:ser>
        <c:dLbls>
          <c:showLegendKey val="0"/>
          <c:showVal val="0"/>
          <c:showCatName val="0"/>
          <c:showSerName val="0"/>
          <c:showPercent val="0"/>
          <c:showBubbleSize val="0"/>
        </c:dLbls>
        <c:gapWidth val="60"/>
        <c:axId val="187485696"/>
        <c:axId val="187555840"/>
        <c:extLst xmlns:c16r2="http://schemas.microsoft.com/office/drawing/2015/06/chart">
          <c:ext xmlns:c15="http://schemas.microsoft.com/office/drawing/2012/chart" uri="{02D57815-91ED-43cb-92C2-25804820EDAC}">
            <c15:filteredBarSeries>
              <c15:ser>
                <c:idx val="0"/>
                <c:order val="0"/>
                <c:spPr>
                  <a:solidFill>
                    <a:schemeClr val="accent1"/>
                  </a:solidFill>
                  <a:ln>
                    <a:noFill/>
                  </a:ln>
                  <a:effectLst/>
                </c:spPr>
                <c:invertIfNegative val="0"/>
                <c:cat>
                  <c:strRef>
                    <c:extLst xmlns:c16r2="http://schemas.microsoft.com/office/drawing/2015/06/chart">
                      <c:ext uri="{02D57815-91ED-43cb-92C2-25804820EDAC}">
                        <c15:formulaRef>
                          <c15:sqref>Arkusz15!$A$14:$A$19</c15:sqref>
                        </c15:formulaRef>
                      </c:ext>
                    </c:extLst>
                    <c:strCache>
                      <c:ptCount val="6"/>
                      <c:pt idx="0">
                        <c:v>Polska</c:v>
                      </c:pt>
                      <c:pt idx="1">
                        <c:v>Warszawa</c:v>
                      </c:pt>
                      <c:pt idx="2">
                        <c:v>Miasta powyżej 200 tys. mieszkańców</c:v>
                      </c:pt>
                      <c:pt idx="3">
                        <c:v>Miasta 50 - 200 tys. mieszkańców</c:v>
                      </c:pt>
                      <c:pt idx="4">
                        <c:v>Miasta do 50 tys. mieszkańców</c:v>
                      </c:pt>
                      <c:pt idx="5">
                        <c:v>Wieś</c:v>
                      </c:pt>
                    </c:strCache>
                  </c:strRef>
                </c:cat>
                <c:val>
                  <c:numRef>
                    <c:extLst xmlns:c16r2="http://schemas.microsoft.com/office/drawing/2015/06/chart">
                      <c:ext uri="{02D57815-91ED-43cb-92C2-25804820EDAC}">
                        <c15:formulaRef>
                          <c15:sqref>Arkusz15!$B$14:$B$19</c15:sqref>
                        </c15:formulaRef>
                      </c:ext>
                    </c:extLst>
                    <c:numCache>
                      <c:formatCode>General</c:formatCode>
                      <c:ptCount val="6"/>
                    </c:numCache>
                  </c:numRef>
                </c:val>
                <c:extLst xmlns:c16r2="http://schemas.microsoft.com/office/drawing/2015/06/chart">
                  <c:ext xmlns:c16="http://schemas.microsoft.com/office/drawing/2014/chart" uri="{C3380CC4-5D6E-409C-BE32-E72D297353CC}">
                    <c16:uniqueId val="{00000003-20F8-4151-9683-97884AEF2E5F}"/>
                  </c:ext>
                </c:extLst>
              </c15:ser>
            </c15:filteredBarSeries>
            <c15:filteredBarSeries>
              <c15:ser>
                <c:idx val="1"/>
                <c:order val="1"/>
                <c:spPr>
                  <a:solidFill>
                    <a:schemeClr val="accent2"/>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Arkusz15!$A$14:$A$19</c15:sqref>
                        </c15:formulaRef>
                      </c:ext>
                    </c:extLst>
                    <c:strCache>
                      <c:ptCount val="6"/>
                      <c:pt idx="0">
                        <c:v>Polska</c:v>
                      </c:pt>
                      <c:pt idx="1">
                        <c:v>Warszawa</c:v>
                      </c:pt>
                      <c:pt idx="2">
                        <c:v>Miasta powyżej 200 tys. mieszkańców</c:v>
                      </c:pt>
                      <c:pt idx="3">
                        <c:v>Miasta 50 - 200 tys. mieszkańców</c:v>
                      </c:pt>
                      <c:pt idx="4">
                        <c:v>Miasta do 50 tys. mieszkańców</c:v>
                      </c:pt>
                      <c:pt idx="5">
                        <c:v>Wieś</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Arkusz15!$C$14:$C$19</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04-20F8-4151-9683-97884AEF2E5F}"/>
                  </c:ext>
                </c:extLst>
              </c15:ser>
            </c15:filteredBarSeries>
            <c15:filteredBarSeries>
              <c15:ser>
                <c:idx val="2"/>
                <c:order val="2"/>
                <c:spPr>
                  <a:solidFill>
                    <a:schemeClr val="accent3"/>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Arkusz15!$A$14:$A$19</c15:sqref>
                        </c15:formulaRef>
                      </c:ext>
                    </c:extLst>
                    <c:strCache>
                      <c:ptCount val="6"/>
                      <c:pt idx="0">
                        <c:v>Polska</c:v>
                      </c:pt>
                      <c:pt idx="1">
                        <c:v>Warszawa</c:v>
                      </c:pt>
                      <c:pt idx="2">
                        <c:v>Miasta powyżej 200 tys. mieszkańców</c:v>
                      </c:pt>
                      <c:pt idx="3">
                        <c:v>Miasta 50 - 200 tys. mieszkańców</c:v>
                      </c:pt>
                      <c:pt idx="4">
                        <c:v>Miasta do 50 tys. mieszkańców</c:v>
                      </c:pt>
                      <c:pt idx="5">
                        <c:v>Wieś</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Arkusz15!$D$14:$D$19</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05-20F8-4151-9683-97884AEF2E5F}"/>
                  </c:ext>
                </c:extLst>
              </c15:ser>
            </c15:filteredBarSeries>
          </c:ext>
        </c:extLst>
      </c:barChart>
      <c:catAx>
        <c:axId val="18748569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crossAx val="187555840"/>
        <c:crosses val="autoZero"/>
        <c:auto val="1"/>
        <c:lblAlgn val="ctr"/>
        <c:lblOffset val="100"/>
        <c:noMultiLvlLbl val="0"/>
      </c:catAx>
      <c:valAx>
        <c:axId val="187555840"/>
        <c:scaling>
          <c:orientation val="minMax"/>
        </c:scaling>
        <c:delete val="0"/>
        <c:axPos val="t"/>
        <c:majorGridlines>
          <c:spPr>
            <a:ln w="9525" cap="flat" cmpd="sng" algn="ctr">
              <a:solidFill>
                <a:schemeClr val="accent3">
                  <a:lumMod val="20000"/>
                  <a:lumOff val="80000"/>
                </a:schemeClr>
              </a:solidFill>
              <a:round/>
            </a:ln>
            <a:effectLst/>
          </c:spPr>
        </c:majorGridlines>
        <c:numFmt formatCode="#\ ##0\ &quot;zł&quot;"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j-lt"/>
                <a:ea typeface="+mn-ea"/>
                <a:cs typeface="+mn-cs"/>
              </a:defRPr>
            </a:pPr>
            <a:endParaRPr lang="pl-PL"/>
          </a:p>
        </c:txPr>
        <c:crossAx val="1874856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50">
          <a:latin typeface="+mj-lt"/>
        </a:defRPr>
      </a:pPr>
      <a:endParaRPr lang="pl-PL"/>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65841557435722919"/>
          <c:y val="2.2811519817507842E-2"/>
          <c:w val="0.31591847870730017"/>
          <c:h val="0.93023229355710635"/>
        </c:manualLayout>
      </c:layout>
      <c:barChart>
        <c:barDir val="bar"/>
        <c:grouping val="clustered"/>
        <c:varyColors val="0"/>
        <c:ser>
          <c:idx val="6"/>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2">
                        <a:lumMod val="25000"/>
                      </a:schemeClr>
                    </a:solidFill>
                    <a:latin typeface="+mn-lt"/>
                    <a:ea typeface="+mn-ea"/>
                    <a:cs typeface="+mn-cs"/>
                  </a:defRPr>
                </a:pPr>
                <a:endParaRPr lang="pl-PL"/>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Arkusz16!$A$8:$A$16</c:f>
              <c:strCache>
                <c:ptCount val="9"/>
                <c:pt idx="0">
                  <c:v>Rozmyty i niejasny zakres obowiązków</c:v>
                </c:pt>
                <c:pt idx="1">
                  <c:v>Ograniczone możliwości działania, realizacji własnych pomysłów</c:v>
                </c:pt>
                <c:pt idx="2">
                  <c:v>Niski prestiż pracy w sektorze pozarządowym</c:v>
                </c:pt>
                <c:pt idx="3">
                  <c:v>Brak możliwości rozwoju zawodowego, podnoszenia kwalifikacji</c:v>
                </c:pt>
                <c:pt idx="4">
                  <c:v>Rutyna, wypalenie zawodowe</c:v>
                </c:pt>
                <c:pt idx="5">
                  <c:v>Brak stabilności zatrudnienia</c:v>
                </c:pt>
                <c:pt idx="6">
                  <c:v>Nadmiar obowiązków w pracy</c:v>
                </c:pt>
                <c:pt idx="7">
                  <c:v>Brak mozliwości awansu w organizacji</c:v>
                </c:pt>
                <c:pt idx="8">
                  <c:v>Zbyt niskie - w porównaniu do kompetencji oraz obowiązków - zarobki</c:v>
                </c:pt>
              </c:strCache>
            </c:strRef>
          </c:cat>
          <c:val>
            <c:numRef>
              <c:f>Arkusz16!$H$8:$H$16</c:f>
              <c:numCache>
                <c:formatCode>0%</c:formatCode>
                <c:ptCount val="9"/>
                <c:pt idx="0">
                  <c:v>0.15</c:v>
                </c:pt>
                <c:pt idx="1">
                  <c:v>0.19</c:v>
                </c:pt>
                <c:pt idx="2">
                  <c:v>0.2</c:v>
                </c:pt>
                <c:pt idx="3">
                  <c:v>0.22</c:v>
                </c:pt>
                <c:pt idx="4">
                  <c:v>0.3</c:v>
                </c:pt>
                <c:pt idx="5">
                  <c:v>0.34</c:v>
                </c:pt>
                <c:pt idx="6">
                  <c:v>0.45</c:v>
                </c:pt>
                <c:pt idx="7">
                  <c:v>0.47</c:v>
                </c:pt>
                <c:pt idx="8">
                  <c:v>0.55000000000000004</c:v>
                </c:pt>
              </c:numCache>
            </c:numRef>
          </c:val>
          <c:extLst xmlns:c16r2="http://schemas.microsoft.com/office/drawing/2015/06/chart">
            <c:ext xmlns:c16="http://schemas.microsoft.com/office/drawing/2014/chart" uri="{C3380CC4-5D6E-409C-BE32-E72D297353CC}">
              <c16:uniqueId val="{00000000-4A0B-46B5-AE26-0E77E899B20D}"/>
            </c:ext>
          </c:extLst>
        </c:ser>
        <c:dLbls>
          <c:showLegendKey val="0"/>
          <c:showVal val="0"/>
          <c:showCatName val="0"/>
          <c:showSerName val="0"/>
          <c:showPercent val="0"/>
          <c:showBubbleSize val="0"/>
        </c:dLbls>
        <c:gapWidth val="60"/>
        <c:axId val="161570816"/>
        <c:axId val="187557568"/>
        <c:extLst xmlns:c16r2="http://schemas.microsoft.com/office/drawing/2015/06/chart">
          <c:ext xmlns:c15="http://schemas.microsoft.com/office/drawing/2012/chart" uri="{02D57815-91ED-43cb-92C2-25804820EDAC}">
            <c15:filteredBarSeries>
              <c15:ser>
                <c:idx val="0"/>
                <c:order val="0"/>
                <c:spPr>
                  <a:solidFill>
                    <a:schemeClr val="accent1"/>
                  </a:solidFill>
                  <a:ln>
                    <a:noFill/>
                  </a:ln>
                  <a:effectLst/>
                </c:spPr>
                <c:invertIfNegative val="0"/>
                <c:cat>
                  <c:strRef>
                    <c:extLst xmlns:c16r2="http://schemas.microsoft.com/office/drawing/2015/06/chart">
                      <c:ext uri="{02D57815-91ED-43cb-92C2-25804820EDAC}">
                        <c15:formulaRef>
                          <c15:sqref>Arkusz16!$A$8:$A$16</c15:sqref>
                        </c15:formulaRef>
                      </c:ext>
                    </c:extLst>
                    <c:strCache>
                      <c:ptCount val="9"/>
                      <c:pt idx="0">
                        <c:v>Rozmyty i niejasny zakres obowiązków</c:v>
                      </c:pt>
                      <c:pt idx="1">
                        <c:v>Ograniczone możliwości działania, realizacji własnych pomysłów</c:v>
                      </c:pt>
                      <c:pt idx="2">
                        <c:v>Niski prestiż pracy w sektorze pozarządowym</c:v>
                      </c:pt>
                      <c:pt idx="3">
                        <c:v>Brak możliwości rozwoju zawodowego, podnoszenia kwalifikacji</c:v>
                      </c:pt>
                      <c:pt idx="4">
                        <c:v>Rutyna, wypalenie zawodowe</c:v>
                      </c:pt>
                      <c:pt idx="5">
                        <c:v>Brak stabilności zatrudnienia</c:v>
                      </c:pt>
                      <c:pt idx="6">
                        <c:v>Nadmiar obowiązków w pracy</c:v>
                      </c:pt>
                      <c:pt idx="7">
                        <c:v>Brak mozliwości awansu w organizacji</c:v>
                      </c:pt>
                      <c:pt idx="8">
                        <c:v>Zbyt niskie - w porównaniu do kompetencji oraz obowiązków - zarobki</c:v>
                      </c:pt>
                    </c:strCache>
                  </c:strRef>
                </c:cat>
                <c:val>
                  <c:numRef>
                    <c:extLst xmlns:c16r2="http://schemas.microsoft.com/office/drawing/2015/06/chart">
                      <c:ext uri="{02D57815-91ED-43cb-92C2-25804820EDAC}">
                        <c15:formulaRef>
                          <c15:sqref>Arkusz16!$B$8:$B$16</c15:sqref>
                        </c15:formulaRef>
                      </c:ext>
                    </c:extLst>
                    <c:numCache>
                      <c:formatCode>General</c:formatCode>
                      <c:ptCount val="9"/>
                    </c:numCache>
                  </c:numRef>
                </c:val>
                <c:extLst xmlns:c16r2="http://schemas.microsoft.com/office/drawing/2015/06/chart">
                  <c:ext xmlns:c16="http://schemas.microsoft.com/office/drawing/2014/chart" uri="{C3380CC4-5D6E-409C-BE32-E72D297353CC}">
                    <c16:uniqueId val="{00000001-4A0B-46B5-AE26-0E77E899B20D}"/>
                  </c:ext>
                </c:extLst>
              </c15:ser>
            </c15:filteredBarSeries>
            <c15:filteredBarSeries>
              <c15:ser>
                <c:idx val="1"/>
                <c:order val="1"/>
                <c:spPr>
                  <a:solidFill>
                    <a:schemeClr val="accent2"/>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Arkusz16!$A$8:$A$16</c15:sqref>
                        </c15:formulaRef>
                      </c:ext>
                    </c:extLst>
                    <c:strCache>
                      <c:ptCount val="9"/>
                      <c:pt idx="0">
                        <c:v>Rozmyty i niejasny zakres obowiązków</c:v>
                      </c:pt>
                      <c:pt idx="1">
                        <c:v>Ograniczone możliwości działania, realizacji własnych pomysłów</c:v>
                      </c:pt>
                      <c:pt idx="2">
                        <c:v>Niski prestiż pracy w sektorze pozarządowym</c:v>
                      </c:pt>
                      <c:pt idx="3">
                        <c:v>Brak możliwości rozwoju zawodowego, podnoszenia kwalifikacji</c:v>
                      </c:pt>
                      <c:pt idx="4">
                        <c:v>Rutyna, wypalenie zawodowe</c:v>
                      </c:pt>
                      <c:pt idx="5">
                        <c:v>Brak stabilności zatrudnienia</c:v>
                      </c:pt>
                      <c:pt idx="6">
                        <c:v>Nadmiar obowiązków w pracy</c:v>
                      </c:pt>
                      <c:pt idx="7">
                        <c:v>Brak mozliwości awansu w organizacji</c:v>
                      </c:pt>
                      <c:pt idx="8">
                        <c:v>Zbyt niskie - w porównaniu do kompetencji oraz obowiązków - zarobki</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Arkusz16!$C$8:$C$16</c15:sqref>
                        </c15:formulaRef>
                      </c:ext>
                    </c:extLst>
                    <c:numCache>
                      <c:formatCode>General</c:formatCode>
                      <c:ptCount val="9"/>
                    </c:numCache>
                  </c:numRef>
                </c:val>
                <c:extLst xmlns:c15="http://schemas.microsoft.com/office/drawing/2012/chart" xmlns:c16r2="http://schemas.microsoft.com/office/drawing/2015/06/chart">
                  <c:ext xmlns:c16="http://schemas.microsoft.com/office/drawing/2014/chart" uri="{C3380CC4-5D6E-409C-BE32-E72D297353CC}">
                    <c16:uniqueId val="{00000002-4A0B-46B5-AE26-0E77E899B20D}"/>
                  </c:ext>
                </c:extLst>
              </c15:ser>
            </c15:filteredBarSeries>
            <c15:filteredBarSeries>
              <c15:ser>
                <c:idx val="2"/>
                <c:order val="2"/>
                <c:spPr>
                  <a:solidFill>
                    <a:schemeClr val="accent3"/>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Arkusz16!$A$8:$A$16</c15:sqref>
                        </c15:formulaRef>
                      </c:ext>
                    </c:extLst>
                    <c:strCache>
                      <c:ptCount val="9"/>
                      <c:pt idx="0">
                        <c:v>Rozmyty i niejasny zakres obowiązków</c:v>
                      </c:pt>
                      <c:pt idx="1">
                        <c:v>Ograniczone możliwości działania, realizacji własnych pomysłów</c:v>
                      </c:pt>
                      <c:pt idx="2">
                        <c:v>Niski prestiż pracy w sektorze pozarządowym</c:v>
                      </c:pt>
                      <c:pt idx="3">
                        <c:v>Brak możliwości rozwoju zawodowego, podnoszenia kwalifikacji</c:v>
                      </c:pt>
                      <c:pt idx="4">
                        <c:v>Rutyna, wypalenie zawodowe</c:v>
                      </c:pt>
                      <c:pt idx="5">
                        <c:v>Brak stabilności zatrudnienia</c:v>
                      </c:pt>
                      <c:pt idx="6">
                        <c:v>Nadmiar obowiązków w pracy</c:v>
                      </c:pt>
                      <c:pt idx="7">
                        <c:v>Brak mozliwości awansu w organizacji</c:v>
                      </c:pt>
                      <c:pt idx="8">
                        <c:v>Zbyt niskie - w porównaniu do kompetencji oraz obowiązków - zarobki</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Arkusz16!$D$8:$D$16</c15:sqref>
                        </c15:formulaRef>
                      </c:ext>
                    </c:extLst>
                    <c:numCache>
                      <c:formatCode>General</c:formatCode>
                      <c:ptCount val="9"/>
                    </c:numCache>
                  </c:numRef>
                </c:val>
                <c:extLst xmlns:c15="http://schemas.microsoft.com/office/drawing/2012/chart" xmlns:c16r2="http://schemas.microsoft.com/office/drawing/2015/06/chart">
                  <c:ext xmlns:c16="http://schemas.microsoft.com/office/drawing/2014/chart" uri="{C3380CC4-5D6E-409C-BE32-E72D297353CC}">
                    <c16:uniqueId val="{00000003-4A0B-46B5-AE26-0E77E899B20D}"/>
                  </c:ext>
                </c:extLst>
              </c15:ser>
            </c15:filteredBarSeries>
            <c15:filteredBarSeries>
              <c15:ser>
                <c:idx val="3"/>
                <c:order val="3"/>
                <c:spPr>
                  <a:solidFill>
                    <a:schemeClr val="accent4"/>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Arkusz16!$A$8:$A$16</c15:sqref>
                        </c15:formulaRef>
                      </c:ext>
                    </c:extLst>
                    <c:strCache>
                      <c:ptCount val="9"/>
                      <c:pt idx="0">
                        <c:v>Rozmyty i niejasny zakres obowiązków</c:v>
                      </c:pt>
                      <c:pt idx="1">
                        <c:v>Ograniczone możliwości działania, realizacji własnych pomysłów</c:v>
                      </c:pt>
                      <c:pt idx="2">
                        <c:v>Niski prestiż pracy w sektorze pozarządowym</c:v>
                      </c:pt>
                      <c:pt idx="3">
                        <c:v>Brak możliwości rozwoju zawodowego, podnoszenia kwalifikacji</c:v>
                      </c:pt>
                      <c:pt idx="4">
                        <c:v>Rutyna, wypalenie zawodowe</c:v>
                      </c:pt>
                      <c:pt idx="5">
                        <c:v>Brak stabilności zatrudnienia</c:v>
                      </c:pt>
                      <c:pt idx="6">
                        <c:v>Nadmiar obowiązków w pracy</c:v>
                      </c:pt>
                      <c:pt idx="7">
                        <c:v>Brak mozliwości awansu w organizacji</c:v>
                      </c:pt>
                      <c:pt idx="8">
                        <c:v>Zbyt niskie - w porównaniu do kompetencji oraz obowiązków - zarobki</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Arkusz16!$E$8:$E$16</c15:sqref>
                        </c15:formulaRef>
                      </c:ext>
                    </c:extLst>
                    <c:numCache>
                      <c:formatCode>General</c:formatCode>
                      <c:ptCount val="9"/>
                    </c:numCache>
                  </c:numRef>
                </c:val>
                <c:extLst xmlns:c15="http://schemas.microsoft.com/office/drawing/2012/chart" xmlns:c16r2="http://schemas.microsoft.com/office/drawing/2015/06/chart">
                  <c:ext xmlns:c16="http://schemas.microsoft.com/office/drawing/2014/chart" uri="{C3380CC4-5D6E-409C-BE32-E72D297353CC}">
                    <c16:uniqueId val="{00000004-4A0B-46B5-AE26-0E77E899B20D}"/>
                  </c:ext>
                </c:extLst>
              </c15:ser>
            </c15:filteredBarSeries>
            <c15:filteredBarSeries>
              <c15:ser>
                <c:idx val="4"/>
                <c:order val="4"/>
                <c:spPr>
                  <a:solidFill>
                    <a:schemeClr val="accent5"/>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Arkusz16!$A$8:$A$16</c15:sqref>
                        </c15:formulaRef>
                      </c:ext>
                    </c:extLst>
                    <c:strCache>
                      <c:ptCount val="9"/>
                      <c:pt idx="0">
                        <c:v>Rozmyty i niejasny zakres obowiązków</c:v>
                      </c:pt>
                      <c:pt idx="1">
                        <c:v>Ograniczone możliwości działania, realizacji własnych pomysłów</c:v>
                      </c:pt>
                      <c:pt idx="2">
                        <c:v>Niski prestiż pracy w sektorze pozarządowym</c:v>
                      </c:pt>
                      <c:pt idx="3">
                        <c:v>Brak możliwości rozwoju zawodowego, podnoszenia kwalifikacji</c:v>
                      </c:pt>
                      <c:pt idx="4">
                        <c:v>Rutyna, wypalenie zawodowe</c:v>
                      </c:pt>
                      <c:pt idx="5">
                        <c:v>Brak stabilności zatrudnienia</c:v>
                      </c:pt>
                      <c:pt idx="6">
                        <c:v>Nadmiar obowiązków w pracy</c:v>
                      </c:pt>
                      <c:pt idx="7">
                        <c:v>Brak mozliwości awansu w organizacji</c:v>
                      </c:pt>
                      <c:pt idx="8">
                        <c:v>Zbyt niskie - w porównaniu do kompetencji oraz obowiązków - zarobki</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Arkusz16!$F$8:$F$16</c15:sqref>
                        </c15:formulaRef>
                      </c:ext>
                    </c:extLst>
                    <c:numCache>
                      <c:formatCode>General</c:formatCode>
                      <c:ptCount val="9"/>
                    </c:numCache>
                  </c:numRef>
                </c:val>
                <c:extLst xmlns:c15="http://schemas.microsoft.com/office/drawing/2012/chart" xmlns:c16r2="http://schemas.microsoft.com/office/drawing/2015/06/chart">
                  <c:ext xmlns:c16="http://schemas.microsoft.com/office/drawing/2014/chart" uri="{C3380CC4-5D6E-409C-BE32-E72D297353CC}">
                    <c16:uniqueId val="{00000005-4A0B-46B5-AE26-0E77E899B20D}"/>
                  </c:ext>
                </c:extLst>
              </c15:ser>
            </c15:filteredBarSeries>
            <c15:filteredBarSeries>
              <c15:ser>
                <c:idx val="5"/>
                <c:order val="5"/>
                <c:spPr>
                  <a:solidFill>
                    <a:schemeClr val="accent6"/>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Arkusz16!$A$8:$A$16</c15:sqref>
                        </c15:formulaRef>
                      </c:ext>
                    </c:extLst>
                    <c:strCache>
                      <c:ptCount val="9"/>
                      <c:pt idx="0">
                        <c:v>Rozmyty i niejasny zakres obowiązków</c:v>
                      </c:pt>
                      <c:pt idx="1">
                        <c:v>Ograniczone możliwości działania, realizacji własnych pomysłów</c:v>
                      </c:pt>
                      <c:pt idx="2">
                        <c:v>Niski prestiż pracy w sektorze pozarządowym</c:v>
                      </c:pt>
                      <c:pt idx="3">
                        <c:v>Brak możliwości rozwoju zawodowego, podnoszenia kwalifikacji</c:v>
                      </c:pt>
                      <c:pt idx="4">
                        <c:v>Rutyna, wypalenie zawodowe</c:v>
                      </c:pt>
                      <c:pt idx="5">
                        <c:v>Brak stabilności zatrudnienia</c:v>
                      </c:pt>
                      <c:pt idx="6">
                        <c:v>Nadmiar obowiązków w pracy</c:v>
                      </c:pt>
                      <c:pt idx="7">
                        <c:v>Brak mozliwości awansu w organizacji</c:v>
                      </c:pt>
                      <c:pt idx="8">
                        <c:v>Zbyt niskie - w porównaniu do kompetencji oraz obowiązków - zarobki</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Arkusz16!$G$8:$G$16</c15:sqref>
                        </c15:formulaRef>
                      </c:ext>
                    </c:extLst>
                    <c:numCache>
                      <c:formatCode>General</c:formatCode>
                      <c:ptCount val="9"/>
                    </c:numCache>
                  </c:numRef>
                </c:val>
                <c:extLst xmlns:c15="http://schemas.microsoft.com/office/drawing/2012/chart" xmlns:c16r2="http://schemas.microsoft.com/office/drawing/2015/06/chart">
                  <c:ext xmlns:c16="http://schemas.microsoft.com/office/drawing/2014/chart" uri="{C3380CC4-5D6E-409C-BE32-E72D297353CC}">
                    <c16:uniqueId val="{00000006-4A0B-46B5-AE26-0E77E899B20D}"/>
                  </c:ext>
                </c:extLst>
              </c15:ser>
            </c15:filteredBarSeries>
          </c:ext>
        </c:extLst>
      </c:barChart>
      <c:catAx>
        <c:axId val="1615708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crossAx val="187557568"/>
        <c:crosses val="autoZero"/>
        <c:auto val="1"/>
        <c:lblAlgn val="ctr"/>
        <c:lblOffset val="100"/>
        <c:noMultiLvlLbl val="0"/>
      </c:catAx>
      <c:valAx>
        <c:axId val="187557568"/>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615708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9606524928595613"/>
          <c:y val="2.7633851468048358E-2"/>
          <c:w val="0.50393475071404392"/>
          <c:h val="0.63487700513862566"/>
        </c:manualLayout>
      </c:layout>
      <c:barChart>
        <c:barDir val="bar"/>
        <c:grouping val="percentStacked"/>
        <c:varyColors val="0"/>
        <c:ser>
          <c:idx val="12"/>
          <c:order val="0"/>
          <c:tx>
            <c:strRef>
              <c:f>Arkusz17!$N$9</c:f>
              <c:strCache>
                <c:ptCount val="1"/>
                <c:pt idx="0">
                  <c:v>Zdecydowanie się zgadzam</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Arkusz17!$A$10:$A$11</c:f>
              <c:strCache>
                <c:ptCount val="2"/>
                <c:pt idx="0">
                  <c:v>Każda organizacja powinna dbać przede wszystkim o własny rozwój, więc nie ma sensu tworzyć wizji rozwoju całego sektora</c:v>
                </c:pt>
                <c:pt idx="1">
                  <c:v>W Polsce trudno mówić o istnieniu sektora pozarządowego jako wspólnoty organizacji - istnieją wyłącznie poszczególne organizacje</c:v>
                </c:pt>
              </c:strCache>
            </c:strRef>
          </c:cat>
          <c:val>
            <c:numRef>
              <c:f>Arkusz17!$N$10:$N$11</c:f>
              <c:numCache>
                <c:formatCode>0%</c:formatCode>
                <c:ptCount val="2"/>
                <c:pt idx="0">
                  <c:v>0.13</c:v>
                </c:pt>
                <c:pt idx="1">
                  <c:v>0.21</c:v>
                </c:pt>
              </c:numCache>
            </c:numRef>
          </c:val>
          <c:extLst xmlns:c16r2="http://schemas.microsoft.com/office/drawing/2015/06/chart">
            <c:ext xmlns:c16="http://schemas.microsoft.com/office/drawing/2014/chart" uri="{C3380CC4-5D6E-409C-BE32-E72D297353CC}">
              <c16:uniqueId val="{00000000-B96A-474C-B81C-A17BEAB9C755}"/>
            </c:ext>
          </c:extLst>
        </c:ser>
        <c:ser>
          <c:idx val="13"/>
          <c:order val="1"/>
          <c:tx>
            <c:strRef>
              <c:f>Arkusz17!$O$9</c:f>
              <c:strCache>
                <c:ptCount val="1"/>
                <c:pt idx="0">
                  <c:v>Raczej się zgadzam</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Arkusz17!$A$10:$A$11</c:f>
              <c:strCache>
                <c:ptCount val="2"/>
                <c:pt idx="0">
                  <c:v>Każda organizacja powinna dbać przede wszystkim o własny rozwój, więc nie ma sensu tworzyć wizji rozwoju całego sektora</c:v>
                </c:pt>
                <c:pt idx="1">
                  <c:v>W Polsce trudno mówić o istnieniu sektora pozarządowego jako wspólnoty organizacji - istnieją wyłącznie poszczególne organizacje</c:v>
                </c:pt>
              </c:strCache>
            </c:strRef>
          </c:cat>
          <c:val>
            <c:numRef>
              <c:f>Arkusz17!$O$10:$O$11</c:f>
              <c:numCache>
                <c:formatCode>0%</c:formatCode>
                <c:ptCount val="2"/>
                <c:pt idx="0">
                  <c:v>0.24</c:v>
                </c:pt>
                <c:pt idx="1">
                  <c:v>0.4</c:v>
                </c:pt>
              </c:numCache>
            </c:numRef>
          </c:val>
          <c:extLst xmlns:c16r2="http://schemas.microsoft.com/office/drawing/2015/06/chart">
            <c:ext xmlns:c16="http://schemas.microsoft.com/office/drawing/2014/chart" uri="{C3380CC4-5D6E-409C-BE32-E72D297353CC}">
              <c16:uniqueId val="{00000001-B96A-474C-B81C-A17BEAB9C755}"/>
            </c:ext>
          </c:extLst>
        </c:ser>
        <c:ser>
          <c:idx val="14"/>
          <c:order val="2"/>
          <c:tx>
            <c:strRef>
              <c:f>Arkusz17!$P$9</c:f>
              <c:strCache>
                <c:ptCount val="1"/>
                <c:pt idx="0">
                  <c:v>Ani się nie zgadzam, ani się nie zgadzam</c:v>
                </c:pt>
              </c:strCache>
            </c:strRef>
          </c:tx>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Arkusz17!$A$10:$A$11</c:f>
              <c:strCache>
                <c:ptCount val="2"/>
                <c:pt idx="0">
                  <c:v>Każda organizacja powinna dbać przede wszystkim o własny rozwój, więc nie ma sensu tworzyć wizji rozwoju całego sektora</c:v>
                </c:pt>
                <c:pt idx="1">
                  <c:v>W Polsce trudno mówić o istnieniu sektora pozarządowego jako wspólnoty organizacji - istnieją wyłącznie poszczególne organizacje</c:v>
                </c:pt>
              </c:strCache>
            </c:strRef>
          </c:cat>
          <c:val>
            <c:numRef>
              <c:f>Arkusz17!$P$10:$P$11</c:f>
              <c:numCache>
                <c:formatCode>0%</c:formatCode>
                <c:ptCount val="2"/>
                <c:pt idx="0">
                  <c:v>0.16</c:v>
                </c:pt>
                <c:pt idx="1">
                  <c:v>0.18</c:v>
                </c:pt>
              </c:numCache>
            </c:numRef>
          </c:val>
          <c:extLst xmlns:c16r2="http://schemas.microsoft.com/office/drawing/2015/06/chart">
            <c:ext xmlns:c16="http://schemas.microsoft.com/office/drawing/2014/chart" uri="{C3380CC4-5D6E-409C-BE32-E72D297353CC}">
              <c16:uniqueId val="{00000002-B96A-474C-B81C-A17BEAB9C755}"/>
            </c:ext>
          </c:extLst>
        </c:ser>
        <c:ser>
          <c:idx val="15"/>
          <c:order val="3"/>
          <c:tx>
            <c:strRef>
              <c:f>Arkusz17!$Q$9</c:f>
              <c:strCache>
                <c:ptCount val="1"/>
                <c:pt idx="0">
                  <c:v>Raczej się nie zgadzam</c:v>
                </c:pt>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Arkusz17!$A$10:$A$11</c:f>
              <c:strCache>
                <c:ptCount val="2"/>
                <c:pt idx="0">
                  <c:v>Każda organizacja powinna dbać przede wszystkim o własny rozwój, więc nie ma sensu tworzyć wizji rozwoju całego sektora</c:v>
                </c:pt>
                <c:pt idx="1">
                  <c:v>W Polsce trudno mówić o istnieniu sektora pozarządowego jako wspólnoty organizacji - istnieją wyłącznie poszczególne organizacje</c:v>
                </c:pt>
              </c:strCache>
            </c:strRef>
          </c:cat>
          <c:val>
            <c:numRef>
              <c:f>Arkusz17!$Q$10:$Q$11</c:f>
              <c:numCache>
                <c:formatCode>0%</c:formatCode>
                <c:ptCount val="2"/>
                <c:pt idx="0">
                  <c:v>0.24</c:v>
                </c:pt>
                <c:pt idx="1">
                  <c:v>0.12</c:v>
                </c:pt>
              </c:numCache>
            </c:numRef>
          </c:val>
          <c:extLst xmlns:c16r2="http://schemas.microsoft.com/office/drawing/2015/06/chart">
            <c:ext xmlns:c16="http://schemas.microsoft.com/office/drawing/2014/chart" uri="{C3380CC4-5D6E-409C-BE32-E72D297353CC}">
              <c16:uniqueId val="{00000003-B96A-474C-B81C-A17BEAB9C755}"/>
            </c:ext>
          </c:extLst>
        </c:ser>
        <c:ser>
          <c:idx val="16"/>
          <c:order val="4"/>
          <c:tx>
            <c:strRef>
              <c:f>Arkusz17!$R$9</c:f>
              <c:strCache>
                <c:ptCount val="1"/>
                <c:pt idx="0">
                  <c:v>Zdecydowanie się nie zgadzam</c:v>
                </c:pt>
              </c:strCache>
            </c:strRef>
          </c:tx>
          <c:spPr>
            <a:solidFill>
              <a:schemeClr val="accent5">
                <a:lumMod val="80000"/>
                <a:lumOff val="2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j-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Arkusz17!$A$10:$A$11</c:f>
              <c:strCache>
                <c:ptCount val="2"/>
                <c:pt idx="0">
                  <c:v>Każda organizacja powinna dbać przede wszystkim o własny rozwój, więc nie ma sensu tworzyć wizji rozwoju całego sektora</c:v>
                </c:pt>
                <c:pt idx="1">
                  <c:v>W Polsce trudno mówić o istnieniu sektora pozarządowego jako wspólnoty organizacji - istnieją wyłącznie poszczególne organizacje</c:v>
                </c:pt>
              </c:strCache>
            </c:strRef>
          </c:cat>
          <c:val>
            <c:numRef>
              <c:f>Arkusz17!$R$10:$R$11</c:f>
              <c:numCache>
                <c:formatCode>0%</c:formatCode>
                <c:ptCount val="2"/>
                <c:pt idx="0">
                  <c:v>0.18</c:v>
                </c:pt>
                <c:pt idx="1">
                  <c:v>0.04</c:v>
                </c:pt>
              </c:numCache>
            </c:numRef>
          </c:val>
          <c:extLst xmlns:c16r2="http://schemas.microsoft.com/office/drawing/2015/06/chart">
            <c:ext xmlns:c16="http://schemas.microsoft.com/office/drawing/2014/chart" uri="{C3380CC4-5D6E-409C-BE32-E72D297353CC}">
              <c16:uniqueId val="{00000004-B96A-474C-B81C-A17BEAB9C755}"/>
            </c:ext>
          </c:extLst>
        </c:ser>
        <c:ser>
          <c:idx val="17"/>
          <c:order val="5"/>
          <c:tx>
            <c:strRef>
              <c:f>Arkusz17!$S$9</c:f>
              <c:strCache>
                <c:ptCount val="1"/>
                <c:pt idx="0">
                  <c:v>Trudno powiedzieć</c:v>
                </c:pt>
              </c:strCache>
            </c:strRef>
          </c:tx>
          <c:spPr>
            <a:solidFill>
              <a:schemeClr val="accent6">
                <a:lumMod val="80000"/>
                <a:lumOff val="20000"/>
              </a:schemeClr>
            </a:solidFill>
            <a:ln>
              <a:noFill/>
            </a:ln>
            <a:effectLst/>
          </c:spPr>
          <c:invertIfNegative val="0"/>
          <c:cat>
            <c:strRef>
              <c:f>Arkusz17!$A$10:$A$11</c:f>
              <c:strCache>
                <c:ptCount val="2"/>
                <c:pt idx="0">
                  <c:v>Każda organizacja powinna dbać przede wszystkim o własny rozwój, więc nie ma sensu tworzyć wizji rozwoju całego sektora</c:v>
                </c:pt>
                <c:pt idx="1">
                  <c:v>W Polsce trudno mówić o istnieniu sektora pozarządowego jako wspólnoty organizacji - istnieją wyłącznie poszczególne organizacje</c:v>
                </c:pt>
              </c:strCache>
            </c:strRef>
          </c:cat>
          <c:val>
            <c:numRef>
              <c:f>Arkusz17!$S$10:$S$11</c:f>
              <c:numCache>
                <c:formatCode>0%</c:formatCode>
                <c:ptCount val="2"/>
                <c:pt idx="0">
                  <c:v>0.05</c:v>
                </c:pt>
                <c:pt idx="1">
                  <c:v>0.05</c:v>
                </c:pt>
              </c:numCache>
            </c:numRef>
          </c:val>
          <c:extLst xmlns:c16r2="http://schemas.microsoft.com/office/drawing/2015/06/chart">
            <c:ext xmlns:c16="http://schemas.microsoft.com/office/drawing/2014/chart" uri="{C3380CC4-5D6E-409C-BE32-E72D297353CC}">
              <c16:uniqueId val="{00000005-B96A-474C-B81C-A17BEAB9C755}"/>
            </c:ext>
          </c:extLst>
        </c:ser>
        <c:dLbls>
          <c:showLegendKey val="0"/>
          <c:showVal val="0"/>
          <c:showCatName val="0"/>
          <c:showSerName val="0"/>
          <c:showPercent val="0"/>
          <c:showBubbleSize val="0"/>
        </c:dLbls>
        <c:gapWidth val="150"/>
        <c:overlap val="100"/>
        <c:axId val="187890688"/>
        <c:axId val="187559296"/>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Arkusz17!$B$9</c15:sqref>
                        </c15:formulaRef>
                      </c:ext>
                    </c:extLst>
                    <c:strCache>
                      <c:ptCount val="1"/>
                    </c:strCache>
                  </c:strRef>
                </c:tx>
                <c:spPr>
                  <a:solidFill>
                    <a:schemeClr val="accent1"/>
                  </a:solidFill>
                  <a:ln>
                    <a:noFill/>
                  </a:ln>
                  <a:effectLst/>
                </c:spPr>
                <c:invertIfNegative val="0"/>
                <c:cat>
                  <c:strRef>
                    <c:extLst xmlns:c16r2="http://schemas.microsoft.com/office/drawing/2015/06/chart">
                      <c:ext uri="{02D57815-91ED-43cb-92C2-25804820EDAC}">
                        <c15:formulaRef>
                          <c15:sqref>Arkusz17!$A$10:$A$11</c15:sqref>
                        </c15:formulaRef>
                      </c:ext>
                    </c:extLst>
                    <c:strCache>
                      <c:ptCount val="2"/>
                      <c:pt idx="0">
                        <c:v>Każda organizacja powinna dbać przede wszystkim o własny rozwój, więc nie ma sensu tworzyć wizji rozwoju całego sektora</c:v>
                      </c:pt>
                      <c:pt idx="1">
                        <c:v>W Polsce trudno mówić o istnieniu sektora pozarządowego jako wspólnoty organizacji - istnieją wyłącznie poszczególne organizacje</c:v>
                      </c:pt>
                    </c:strCache>
                  </c:strRef>
                </c:cat>
                <c:val>
                  <c:numRef>
                    <c:extLst xmlns:c16r2="http://schemas.microsoft.com/office/drawing/2015/06/chart">
                      <c:ext uri="{02D57815-91ED-43cb-92C2-25804820EDAC}">
                        <c15:formulaRef>
                          <c15:sqref>Arkusz17!$B$10:$B$11</c15:sqref>
                        </c15:formulaRef>
                      </c:ext>
                    </c:extLst>
                    <c:numCache>
                      <c:formatCode>General</c:formatCode>
                      <c:ptCount val="2"/>
                    </c:numCache>
                  </c:numRef>
                </c:val>
                <c:extLst xmlns:c16r2="http://schemas.microsoft.com/office/drawing/2015/06/chart">
                  <c:ext xmlns:c16="http://schemas.microsoft.com/office/drawing/2014/chart" uri="{C3380CC4-5D6E-409C-BE32-E72D297353CC}">
                    <c16:uniqueId val="{00000006-B96A-474C-B81C-A17BEAB9C755}"/>
                  </c:ext>
                </c:extLst>
              </c15:ser>
            </c15:filteredBarSeries>
            <c15:filteredBarSeries>
              <c15:ser>
                <c:idx val="1"/>
                <c:order val="1"/>
                <c:tx>
                  <c:strRef>
                    <c:extLst xmlns:c15="http://schemas.microsoft.com/office/drawing/2012/chart" xmlns:c16r2="http://schemas.microsoft.com/office/drawing/2015/06/chart">
                      <c:ext xmlns:c15="http://schemas.microsoft.com/office/drawing/2012/chart" uri="{02D57815-91ED-43cb-92C2-25804820EDAC}">
                        <c15:formulaRef>
                          <c15:sqref>Arkusz17!$C$9</c15:sqref>
                        </c15:formulaRef>
                      </c:ext>
                    </c:extLst>
                    <c:strCache>
                      <c:ptCount val="1"/>
                    </c:strCache>
                  </c:strRef>
                </c:tx>
                <c:spPr>
                  <a:solidFill>
                    <a:schemeClr val="accent2"/>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Arkusz17!$A$10:$A$11</c15:sqref>
                        </c15:formulaRef>
                      </c:ext>
                    </c:extLst>
                    <c:strCache>
                      <c:ptCount val="2"/>
                      <c:pt idx="0">
                        <c:v>Każda organizacja powinna dbać przede wszystkim o własny rozwój, więc nie ma sensu tworzyć wizji rozwoju całego sektora</c:v>
                      </c:pt>
                      <c:pt idx="1">
                        <c:v>W Polsce trudno mówić o istnieniu sektora pozarządowego jako wspólnoty organizacji - istnieją wyłącznie poszczególne organizacje</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Arkusz17!$C$10:$C$11</c15:sqref>
                        </c15:formulaRef>
                      </c:ext>
                    </c:extLst>
                    <c:numCache>
                      <c:formatCode>General</c:formatCode>
                      <c:ptCount val="2"/>
                    </c:numCache>
                  </c:numRef>
                </c:val>
                <c:extLst xmlns:c15="http://schemas.microsoft.com/office/drawing/2012/chart" xmlns:c16r2="http://schemas.microsoft.com/office/drawing/2015/06/chart">
                  <c:ext xmlns:c16="http://schemas.microsoft.com/office/drawing/2014/chart" uri="{C3380CC4-5D6E-409C-BE32-E72D297353CC}">
                    <c16:uniqueId val="{00000007-B96A-474C-B81C-A17BEAB9C755}"/>
                  </c:ext>
                </c:extLst>
              </c15:ser>
            </c15:filteredBarSeries>
            <c15:filteredBarSeries>
              <c15:ser>
                <c:idx val="2"/>
                <c:order val="2"/>
                <c:tx>
                  <c:strRef>
                    <c:extLst xmlns:c15="http://schemas.microsoft.com/office/drawing/2012/chart" xmlns:c16r2="http://schemas.microsoft.com/office/drawing/2015/06/chart">
                      <c:ext xmlns:c15="http://schemas.microsoft.com/office/drawing/2012/chart" uri="{02D57815-91ED-43cb-92C2-25804820EDAC}">
                        <c15:formulaRef>
                          <c15:sqref>Arkusz17!$D$9</c15:sqref>
                        </c15:formulaRef>
                      </c:ext>
                    </c:extLst>
                    <c:strCache>
                      <c:ptCount val="1"/>
                    </c:strCache>
                  </c:strRef>
                </c:tx>
                <c:spPr>
                  <a:solidFill>
                    <a:schemeClr val="accent3"/>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Arkusz17!$A$10:$A$11</c15:sqref>
                        </c15:formulaRef>
                      </c:ext>
                    </c:extLst>
                    <c:strCache>
                      <c:ptCount val="2"/>
                      <c:pt idx="0">
                        <c:v>Każda organizacja powinna dbać przede wszystkim o własny rozwój, więc nie ma sensu tworzyć wizji rozwoju całego sektora</c:v>
                      </c:pt>
                      <c:pt idx="1">
                        <c:v>W Polsce trudno mówić o istnieniu sektora pozarządowego jako wspólnoty organizacji - istnieją wyłącznie poszczególne organizacje</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Arkusz17!$D$10:$D$11</c15:sqref>
                        </c15:formulaRef>
                      </c:ext>
                    </c:extLst>
                    <c:numCache>
                      <c:formatCode>General</c:formatCode>
                      <c:ptCount val="2"/>
                    </c:numCache>
                  </c:numRef>
                </c:val>
                <c:extLst xmlns:c15="http://schemas.microsoft.com/office/drawing/2012/chart" xmlns:c16r2="http://schemas.microsoft.com/office/drawing/2015/06/chart">
                  <c:ext xmlns:c16="http://schemas.microsoft.com/office/drawing/2014/chart" uri="{C3380CC4-5D6E-409C-BE32-E72D297353CC}">
                    <c16:uniqueId val="{00000008-B96A-474C-B81C-A17BEAB9C755}"/>
                  </c:ext>
                </c:extLst>
              </c15:ser>
            </c15:filteredBarSeries>
            <c15:filteredBar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Arkusz17!$E$9</c15:sqref>
                        </c15:formulaRef>
                      </c:ext>
                    </c:extLst>
                    <c:strCache>
                      <c:ptCount val="1"/>
                    </c:strCache>
                  </c:strRef>
                </c:tx>
                <c:spPr>
                  <a:solidFill>
                    <a:schemeClr val="accent4"/>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Arkusz17!$A$10:$A$11</c15:sqref>
                        </c15:formulaRef>
                      </c:ext>
                    </c:extLst>
                    <c:strCache>
                      <c:ptCount val="2"/>
                      <c:pt idx="0">
                        <c:v>Każda organizacja powinna dbać przede wszystkim o własny rozwój, więc nie ma sensu tworzyć wizji rozwoju całego sektora</c:v>
                      </c:pt>
                      <c:pt idx="1">
                        <c:v>W Polsce trudno mówić o istnieniu sektora pozarządowego jako wspólnoty organizacji - istnieją wyłącznie poszczególne organizacje</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Arkusz17!$E$10:$E$11</c15:sqref>
                        </c15:formulaRef>
                      </c:ext>
                    </c:extLst>
                    <c:numCache>
                      <c:formatCode>General</c:formatCode>
                      <c:ptCount val="2"/>
                    </c:numCache>
                  </c:numRef>
                </c:val>
                <c:extLst xmlns:c15="http://schemas.microsoft.com/office/drawing/2012/chart" xmlns:c16r2="http://schemas.microsoft.com/office/drawing/2015/06/chart">
                  <c:ext xmlns:c16="http://schemas.microsoft.com/office/drawing/2014/chart" uri="{C3380CC4-5D6E-409C-BE32-E72D297353CC}">
                    <c16:uniqueId val="{00000009-B96A-474C-B81C-A17BEAB9C755}"/>
                  </c:ext>
                </c:extLst>
              </c15:ser>
            </c15:filteredBarSeries>
            <c15:filteredBarSeries>
              <c15:ser>
                <c:idx val="4"/>
                <c:order val="4"/>
                <c:tx>
                  <c:strRef>
                    <c:extLst xmlns:c15="http://schemas.microsoft.com/office/drawing/2012/chart" xmlns:c16r2="http://schemas.microsoft.com/office/drawing/2015/06/chart">
                      <c:ext xmlns:c15="http://schemas.microsoft.com/office/drawing/2012/chart" uri="{02D57815-91ED-43cb-92C2-25804820EDAC}">
                        <c15:formulaRef>
                          <c15:sqref>Arkusz17!$F$9</c15:sqref>
                        </c15:formulaRef>
                      </c:ext>
                    </c:extLst>
                    <c:strCache>
                      <c:ptCount val="1"/>
                    </c:strCache>
                  </c:strRef>
                </c:tx>
                <c:spPr>
                  <a:solidFill>
                    <a:schemeClr val="accent5"/>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Arkusz17!$A$10:$A$11</c15:sqref>
                        </c15:formulaRef>
                      </c:ext>
                    </c:extLst>
                    <c:strCache>
                      <c:ptCount val="2"/>
                      <c:pt idx="0">
                        <c:v>Każda organizacja powinna dbać przede wszystkim o własny rozwój, więc nie ma sensu tworzyć wizji rozwoju całego sektora</c:v>
                      </c:pt>
                      <c:pt idx="1">
                        <c:v>W Polsce trudno mówić o istnieniu sektora pozarządowego jako wspólnoty organizacji - istnieją wyłącznie poszczególne organizacje</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Arkusz17!$F$10:$F$11</c15:sqref>
                        </c15:formulaRef>
                      </c:ext>
                    </c:extLst>
                    <c:numCache>
                      <c:formatCode>General</c:formatCode>
                      <c:ptCount val="2"/>
                    </c:numCache>
                  </c:numRef>
                </c:val>
                <c:extLst xmlns:c15="http://schemas.microsoft.com/office/drawing/2012/chart" xmlns:c16r2="http://schemas.microsoft.com/office/drawing/2015/06/chart">
                  <c:ext xmlns:c16="http://schemas.microsoft.com/office/drawing/2014/chart" uri="{C3380CC4-5D6E-409C-BE32-E72D297353CC}">
                    <c16:uniqueId val="{0000000A-B96A-474C-B81C-A17BEAB9C755}"/>
                  </c:ext>
                </c:extLst>
              </c15:ser>
            </c15:filteredBarSeries>
            <c15:filteredBarSeries>
              <c15:ser>
                <c:idx val="5"/>
                <c:order val="5"/>
                <c:tx>
                  <c:strRef>
                    <c:extLst xmlns:c15="http://schemas.microsoft.com/office/drawing/2012/chart" xmlns:c16r2="http://schemas.microsoft.com/office/drawing/2015/06/chart">
                      <c:ext xmlns:c15="http://schemas.microsoft.com/office/drawing/2012/chart" uri="{02D57815-91ED-43cb-92C2-25804820EDAC}">
                        <c15:formulaRef>
                          <c15:sqref>Arkusz17!$G$9</c15:sqref>
                        </c15:formulaRef>
                      </c:ext>
                    </c:extLst>
                    <c:strCache>
                      <c:ptCount val="1"/>
                    </c:strCache>
                  </c:strRef>
                </c:tx>
                <c:spPr>
                  <a:solidFill>
                    <a:schemeClr val="accent6"/>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Arkusz17!$A$10:$A$11</c15:sqref>
                        </c15:formulaRef>
                      </c:ext>
                    </c:extLst>
                    <c:strCache>
                      <c:ptCount val="2"/>
                      <c:pt idx="0">
                        <c:v>Każda organizacja powinna dbać przede wszystkim o własny rozwój, więc nie ma sensu tworzyć wizji rozwoju całego sektora</c:v>
                      </c:pt>
                      <c:pt idx="1">
                        <c:v>W Polsce trudno mówić o istnieniu sektora pozarządowego jako wspólnoty organizacji - istnieją wyłącznie poszczególne organizacje</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Arkusz17!$G$10:$G$11</c15:sqref>
                        </c15:formulaRef>
                      </c:ext>
                    </c:extLst>
                    <c:numCache>
                      <c:formatCode>General</c:formatCode>
                      <c:ptCount val="2"/>
                    </c:numCache>
                  </c:numRef>
                </c:val>
                <c:extLst xmlns:c15="http://schemas.microsoft.com/office/drawing/2012/chart" xmlns:c16r2="http://schemas.microsoft.com/office/drawing/2015/06/chart">
                  <c:ext xmlns:c16="http://schemas.microsoft.com/office/drawing/2014/chart" uri="{C3380CC4-5D6E-409C-BE32-E72D297353CC}">
                    <c16:uniqueId val="{0000000B-B96A-474C-B81C-A17BEAB9C755}"/>
                  </c:ext>
                </c:extLst>
              </c15:ser>
            </c15:filteredBarSeries>
            <c15:filteredBarSeries>
              <c15:ser>
                <c:idx val="6"/>
                <c:order val="6"/>
                <c:tx>
                  <c:strRef>
                    <c:extLst xmlns:c15="http://schemas.microsoft.com/office/drawing/2012/chart" xmlns:c16r2="http://schemas.microsoft.com/office/drawing/2015/06/chart">
                      <c:ext xmlns:c15="http://schemas.microsoft.com/office/drawing/2012/chart" uri="{02D57815-91ED-43cb-92C2-25804820EDAC}">
                        <c15:formulaRef>
                          <c15:sqref>Arkusz17!$H$9</c15:sqref>
                        </c15:formulaRef>
                      </c:ext>
                    </c:extLst>
                    <c:strCache>
                      <c:ptCount val="1"/>
                    </c:strCache>
                  </c:strRef>
                </c:tx>
                <c:spPr>
                  <a:solidFill>
                    <a:schemeClr val="accent1">
                      <a:lumMod val="60000"/>
                    </a:schemeClr>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Arkusz17!$A$10:$A$11</c15:sqref>
                        </c15:formulaRef>
                      </c:ext>
                    </c:extLst>
                    <c:strCache>
                      <c:ptCount val="2"/>
                      <c:pt idx="0">
                        <c:v>Każda organizacja powinna dbać przede wszystkim o własny rozwój, więc nie ma sensu tworzyć wizji rozwoju całego sektora</c:v>
                      </c:pt>
                      <c:pt idx="1">
                        <c:v>W Polsce trudno mówić o istnieniu sektora pozarządowego jako wspólnoty organizacji - istnieją wyłącznie poszczególne organizacje</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Arkusz17!$H$10:$H$11</c15:sqref>
                        </c15:formulaRef>
                      </c:ext>
                    </c:extLst>
                    <c:numCache>
                      <c:formatCode>General</c:formatCode>
                      <c:ptCount val="2"/>
                    </c:numCache>
                  </c:numRef>
                </c:val>
                <c:extLst xmlns:c15="http://schemas.microsoft.com/office/drawing/2012/chart" xmlns:c16r2="http://schemas.microsoft.com/office/drawing/2015/06/chart">
                  <c:ext xmlns:c16="http://schemas.microsoft.com/office/drawing/2014/chart" uri="{C3380CC4-5D6E-409C-BE32-E72D297353CC}">
                    <c16:uniqueId val="{0000000C-B96A-474C-B81C-A17BEAB9C755}"/>
                  </c:ext>
                </c:extLst>
              </c15:ser>
            </c15:filteredBarSeries>
            <c15:filteredBarSeries>
              <c15:ser>
                <c:idx val="7"/>
                <c:order val="7"/>
                <c:tx>
                  <c:strRef>
                    <c:extLst xmlns:c15="http://schemas.microsoft.com/office/drawing/2012/chart" xmlns:c16r2="http://schemas.microsoft.com/office/drawing/2015/06/chart">
                      <c:ext xmlns:c15="http://schemas.microsoft.com/office/drawing/2012/chart" uri="{02D57815-91ED-43cb-92C2-25804820EDAC}">
                        <c15:formulaRef>
                          <c15:sqref>Arkusz17!$I$9</c15:sqref>
                        </c15:formulaRef>
                      </c:ext>
                    </c:extLst>
                    <c:strCache>
                      <c:ptCount val="1"/>
                    </c:strCache>
                  </c:strRef>
                </c:tx>
                <c:spPr>
                  <a:solidFill>
                    <a:schemeClr val="accent2">
                      <a:lumMod val="60000"/>
                    </a:schemeClr>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Arkusz17!$A$10:$A$11</c15:sqref>
                        </c15:formulaRef>
                      </c:ext>
                    </c:extLst>
                    <c:strCache>
                      <c:ptCount val="2"/>
                      <c:pt idx="0">
                        <c:v>Każda organizacja powinna dbać przede wszystkim o własny rozwój, więc nie ma sensu tworzyć wizji rozwoju całego sektora</c:v>
                      </c:pt>
                      <c:pt idx="1">
                        <c:v>W Polsce trudno mówić o istnieniu sektora pozarządowego jako wspólnoty organizacji - istnieją wyłącznie poszczególne organizacje</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Arkusz17!$I$10:$I$11</c15:sqref>
                        </c15:formulaRef>
                      </c:ext>
                    </c:extLst>
                    <c:numCache>
                      <c:formatCode>General</c:formatCode>
                      <c:ptCount val="2"/>
                    </c:numCache>
                  </c:numRef>
                </c:val>
                <c:extLst xmlns:c15="http://schemas.microsoft.com/office/drawing/2012/chart" xmlns:c16r2="http://schemas.microsoft.com/office/drawing/2015/06/chart">
                  <c:ext xmlns:c16="http://schemas.microsoft.com/office/drawing/2014/chart" uri="{C3380CC4-5D6E-409C-BE32-E72D297353CC}">
                    <c16:uniqueId val="{0000000D-B96A-474C-B81C-A17BEAB9C755}"/>
                  </c:ext>
                </c:extLst>
              </c15:ser>
            </c15:filteredBarSeries>
            <c15:filteredBarSeries>
              <c15:ser>
                <c:idx val="8"/>
                <c:order val="8"/>
                <c:tx>
                  <c:strRef>
                    <c:extLst xmlns:c15="http://schemas.microsoft.com/office/drawing/2012/chart" xmlns:c16r2="http://schemas.microsoft.com/office/drawing/2015/06/chart">
                      <c:ext xmlns:c15="http://schemas.microsoft.com/office/drawing/2012/chart" uri="{02D57815-91ED-43cb-92C2-25804820EDAC}">
                        <c15:formulaRef>
                          <c15:sqref>Arkusz17!$J$9</c15:sqref>
                        </c15:formulaRef>
                      </c:ext>
                    </c:extLst>
                    <c:strCache>
                      <c:ptCount val="1"/>
                    </c:strCache>
                  </c:strRef>
                </c:tx>
                <c:spPr>
                  <a:solidFill>
                    <a:schemeClr val="accent3">
                      <a:lumMod val="60000"/>
                    </a:schemeClr>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Arkusz17!$A$10:$A$11</c15:sqref>
                        </c15:formulaRef>
                      </c:ext>
                    </c:extLst>
                    <c:strCache>
                      <c:ptCount val="2"/>
                      <c:pt idx="0">
                        <c:v>Każda organizacja powinna dbać przede wszystkim o własny rozwój, więc nie ma sensu tworzyć wizji rozwoju całego sektora</c:v>
                      </c:pt>
                      <c:pt idx="1">
                        <c:v>W Polsce trudno mówić o istnieniu sektora pozarządowego jako wspólnoty organizacji - istnieją wyłącznie poszczególne organizacje</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Arkusz17!$J$10:$J$11</c15:sqref>
                        </c15:formulaRef>
                      </c:ext>
                    </c:extLst>
                    <c:numCache>
                      <c:formatCode>General</c:formatCode>
                      <c:ptCount val="2"/>
                    </c:numCache>
                  </c:numRef>
                </c:val>
                <c:extLst xmlns:c15="http://schemas.microsoft.com/office/drawing/2012/chart" xmlns:c16r2="http://schemas.microsoft.com/office/drawing/2015/06/chart">
                  <c:ext xmlns:c16="http://schemas.microsoft.com/office/drawing/2014/chart" uri="{C3380CC4-5D6E-409C-BE32-E72D297353CC}">
                    <c16:uniqueId val="{0000000E-B96A-474C-B81C-A17BEAB9C755}"/>
                  </c:ext>
                </c:extLst>
              </c15:ser>
            </c15:filteredBarSeries>
            <c15:filteredBarSeries>
              <c15:ser>
                <c:idx val="9"/>
                <c:order val="9"/>
                <c:tx>
                  <c:strRef>
                    <c:extLst xmlns:c15="http://schemas.microsoft.com/office/drawing/2012/chart" xmlns:c16r2="http://schemas.microsoft.com/office/drawing/2015/06/chart">
                      <c:ext xmlns:c15="http://schemas.microsoft.com/office/drawing/2012/chart" uri="{02D57815-91ED-43cb-92C2-25804820EDAC}">
                        <c15:formulaRef>
                          <c15:sqref>Arkusz17!$K$9</c15:sqref>
                        </c15:formulaRef>
                      </c:ext>
                    </c:extLst>
                    <c:strCache>
                      <c:ptCount val="1"/>
                    </c:strCache>
                  </c:strRef>
                </c:tx>
                <c:spPr>
                  <a:solidFill>
                    <a:schemeClr val="accent4">
                      <a:lumMod val="60000"/>
                    </a:schemeClr>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Arkusz17!$A$10:$A$11</c15:sqref>
                        </c15:formulaRef>
                      </c:ext>
                    </c:extLst>
                    <c:strCache>
                      <c:ptCount val="2"/>
                      <c:pt idx="0">
                        <c:v>Każda organizacja powinna dbać przede wszystkim o własny rozwój, więc nie ma sensu tworzyć wizji rozwoju całego sektora</c:v>
                      </c:pt>
                      <c:pt idx="1">
                        <c:v>W Polsce trudno mówić o istnieniu sektora pozarządowego jako wspólnoty organizacji - istnieją wyłącznie poszczególne organizacje</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Arkusz17!$K$10:$K$11</c15:sqref>
                        </c15:formulaRef>
                      </c:ext>
                    </c:extLst>
                    <c:numCache>
                      <c:formatCode>General</c:formatCode>
                      <c:ptCount val="2"/>
                    </c:numCache>
                  </c:numRef>
                </c:val>
                <c:extLst xmlns:c15="http://schemas.microsoft.com/office/drawing/2012/chart" xmlns:c16r2="http://schemas.microsoft.com/office/drawing/2015/06/chart">
                  <c:ext xmlns:c16="http://schemas.microsoft.com/office/drawing/2014/chart" uri="{C3380CC4-5D6E-409C-BE32-E72D297353CC}">
                    <c16:uniqueId val="{0000000F-B96A-474C-B81C-A17BEAB9C755}"/>
                  </c:ext>
                </c:extLst>
              </c15:ser>
            </c15:filteredBarSeries>
            <c15:filteredBarSeries>
              <c15:ser>
                <c:idx val="10"/>
                <c:order val="10"/>
                <c:tx>
                  <c:strRef>
                    <c:extLst xmlns:c15="http://schemas.microsoft.com/office/drawing/2012/chart" xmlns:c16r2="http://schemas.microsoft.com/office/drawing/2015/06/chart">
                      <c:ext xmlns:c15="http://schemas.microsoft.com/office/drawing/2012/chart" uri="{02D57815-91ED-43cb-92C2-25804820EDAC}">
                        <c15:formulaRef>
                          <c15:sqref>Arkusz17!$L$9</c15:sqref>
                        </c15:formulaRef>
                      </c:ext>
                    </c:extLst>
                    <c:strCache>
                      <c:ptCount val="1"/>
                    </c:strCache>
                  </c:strRef>
                </c:tx>
                <c:spPr>
                  <a:solidFill>
                    <a:schemeClr val="accent5">
                      <a:lumMod val="60000"/>
                    </a:schemeClr>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Arkusz17!$A$10:$A$11</c15:sqref>
                        </c15:formulaRef>
                      </c:ext>
                    </c:extLst>
                    <c:strCache>
                      <c:ptCount val="2"/>
                      <c:pt idx="0">
                        <c:v>Każda organizacja powinna dbać przede wszystkim o własny rozwój, więc nie ma sensu tworzyć wizji rozwoju całego sektora</c:v>
                      </c:pt>
                      <c:pt idx="1">
                        <c:v>W Polsce trudno mówić o istnieniu sektora pozarządowego jako wspólnoty organizacji - istnieją wyłącznie poszczególne organizacje</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Arkusz17!$L$10:$L$11</c15:sqref>
                        </c15:formulaRef>
                      </c:ext>
                    </c:extLst>
                    <c:numCache>
                      <c:formatCode>General</c:formatCode>
                      <c:ptCount val="2"/>
                    </c:numCache>
                  </c:numRef>
                </c:val>
                <c:extLst xmlns:c15="http://schemas.microsoft.com/office/drawing/2012/chart" xmlns:c16r2="http://schemas.microsoft.com/office/drawing/2015/06/chart">
                  <c:ext xmlns:c16="http://schemas.microsoft.com/office/drawing/2014/chart" uri="{C3380CC4-5D6E-409C-BE32-E72D297353CC}">
                    <c16:uniqueId val="{00000010-B96A-474C-B81C-A17BEAB9C755}"/>
                  </c:ext>
                </c:extLst>
              </c15:ser>
            </c15:filteredBarSeries>
            <c15:filteredBarSeries>
              <c15:ser>
                <c:idx val="11"/>
                <c:order val="11"/>
                <c:tx>
                  <c:strRef>
                    <c:extLst xmlns:c15="http://schemas.microsoft.com/office/drawing/2012/chart" xmlns:c16r2="http://schemas.microsoft.com/office/drawing/2015/06/chart">
                      <c:ext xmlns:c15="http://schemas.microsoft.com/office/drawing/2012/chart" uri="{02D57815-91ED-43cb-92C2-25804820EDAC}">
                        <c15:formulaRef>
                          <c15:sqref>Arkusz17!$M$9</c15:sqref>
                        </c15:formulaRef>
                      </c:ext>
                    </c:extLst>
                    <c:strCache>
                      <c:ptCount val="1"/>
                    </c:strCache>
                  </c:strRef>
                </c:tx>
                <c:spPr>
                  <a:solidFill>
                    <a:schemeClr val="accent6">
                      <a:lumMod val="60000"/>
                    </a:schemeClr>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Arkusz17!$A$10:$A$11</c15:sqref>
                        </c15:formulaRef>
                      </c:ext>
                    </c:extLst>
                    <c:strCache>
                      <c:ptCount val="2"/>
                      <c:pt idx="0">
                        <c:v>Każda organizacja powinna dbać przede wszystkim o własny rozwój, więc nie ma sensu tworzyć wizji rozwoju całego sektora</c:v>
                      </c:pt>
                      <c:pt idx="1">
                        <c:v>W Polsce trudno mówić o istnieniu sektora pozarządowego jako wspólnoty organizacji - istnieją wyłącznie poszczególne organizacje</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Arkusz17!$M$10:$M$11</c15:sqref>
                        </c15:formulaRef>
                      </c:ext>
                    </c:extLst>
                    <c:numCache>
                      <c:formatCode>General</c:formatCode>
                      <c:ptCount val="2"/>
                    </c:numCache>
                  </c:numRef>
                </c:val>
                <c:extLst xmlns:c15="http://schemas.microsoft.com/office/drawing/2012/chart" xmlns:c16r2="http://schemas.microsoft.com/office/drawing/2015/06/chart">
                  <c:ext xmlns:c16="http://schemas.microsoft.com/office/drawing/2014/chart" uri="{C3380CC4-5D6E-409C-BE32-E72D297353CC}">
                    <c16:uniqueId val="{00000011-B96A-474C-B81C-A17BEAB9C755}"/>
                  </c:ext>
                </c:extLst>
              </c15:ser>
            </c15:filteredBarSeries>
          </c:ext>
        </c:extLst>
      </c:barChart>
      <c:catAx>
        <c:axId val="1878906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crossAx val="187559296"/>
        <c:crosses val="autoZero"/>
        <c:auto val="1"/>
        <c:lblAlgn val="ctr"/>
        <c:lblOffset val="100"/>
        <c:noMultiLvlLbl val="0"/>
      </c:catAx>
      <c:valAx>
        <c:axId val="187559296"/>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87890688"/>
        <c:crosses val="autoZero"/>
        <c:crossBetween val="between"/>
      </c:valAx>
      <c:spPr>
        <a:noFill/>
        <a:ln>
          <a:noFill/>
        </a:ln>
        <a:effectLst/>
      </c:spPr>
    </c:plotArea>
    <c:legend>
      <c:legendPos val="b"/>
      <c:layout>
        <c:manualLayout>
          <c:xMode val="edge"/>
          <c:yMode val="edge"/>
          <c:x val="0.33697847222222221"/>
          <c:y val="0.68323479416189603"/>
          <c:w val="0.65456736111111102"/>
          <c:h val="0.302948359742873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latin typeface="+mj-lt"/>
        </a:defRPr>
      </a:pPr>
      <a:endParaRPr lang="pl-PL"/>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8374150309491355E-2"/>
          <c:y val="4.0939215931341914E-2"/>
          <c:w val="0.47673649393605294"/>
          <c:h val="0.91513227513227513"/>
        </c:manualLayout>
      </c:layout>
      <c:pieChart>
        <c:varyColors val="1"/>
        <c:ser>
          <c:idx val="0"/>
          <c:order val="0"/>
          <c:explosion val="1"/>
          <c:dPt>
            <c:idx val="0"/>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5A73-4C9E-A2BC-988E6BA8DB4B}"/>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5A73-4C9E-A2BC-988E6BA8DB4B}"/>
              </c:ext>
            </c:extLst>
          </c:dPt>
          <c:dPt>
            <c:idx val="2"/>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5A73-4C9E-A2BC-988E6BA8DB4B}"/>
              </c:ext>
            </c:extLst>
          </c:dPt>
          <c:dPt>
            <c:idx val="3"/>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7-5A73-4C9E-A2BC-988E6BA8DB4B}"/>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5A73-4C9E-A2BC-988E6BA8DB4B}"/>
              </c:ext>
            </c:extLst>
          </c:dPt>
          <c:dPt>
            <c:idx val="5"/>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B-5A73-4C9E-A2BC-988E6BA8DB4B}"/>
              </c:ext>
            </c:extLst>
          </c:dPt>
          <c:dLbls>
            <c:spPr>
              <a:noFill/>
              <a:ln>
                <a:noFill/>
              </a:ln>
              <a:effectLst/>
            </c:spPr>
            <c:txPr>
              <a:bodyPr rot="0" spcFirstLastPara="1" vertOverflow="ellipsis" vert="horz" wrap="square" anchor="ctr" anchorCtr="1"/>
              <a:lstStyle/>
              <a:p>
                <a:pPr>
                  <a:defRPr sz="1000" b="0" i="0" u="none" strike="noStrike" kern="1200" baseline="0">
                    <a:solidFill>
                      <a:schemeClr val="bg2">
                        <a:lumMod val="25000"/>
                      </a:schemeClr>
                    </a:solidFill>
                    <a:latin typeface="+mj-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Arkusz18!$A$10:$A$15</c:f>
              <c:strCache>
                <c:ptCount val="6"/>
                <c:pt idx="0">
                  <c:v>Nie uwzględniono żadnych naszych uwag</c:v>
                </c:pt>
                <c:pt idx="1">
                  <c:v>Uwzględniono mniej niż połowę naszych uwag</c:v>
                </c:pt>
                <c:pt idx="2">
                  <c:v>Uwzględniono mniej więcej połowę naszych uwag</c:v>
                </c:pt>
                <c:pt idx="3">
                  <c:v>Uwzględniono większość naszych uwag</c:v>
                </c:pt>
                <c:pt idx="4">
                  <c:v>Uwzględniono wszystkie nasze uwagi</c:v>
                </c:pt>
                <c:pt idx="5">
                  <c:v>Trudno powiedzieć</c:v>
                </c:pt>
              </c:strCache>
            </c:strRef>
          </c:cat>
          <c:val>
            <c:numRef>
              <c:f>Arkusz18!$F$10:$F$15</c:f>
              <c:numCache>
                <c:formatCode>0%</c:formatCode>
                <c:ptCount val="6"/>
                <c:pt idx="0">
                  <c:v>0.12</c:v>
                </c:pt>
                <c:pt idx="1">
                  <c:v>0.28999999999999998</c:v>
                </c:pt>
                <c:pt idx="2">
                  <c:v>0.25</c:v>
                </c:pt>
                <c:pt idx="3">
                  <c:v>0.19</c:v>
                </c:pt>
                <c:pt idx="4">
                  <c:v>0.06</c:v>
                </c:pt>
                <c:pt idx="5">
                  <c:v>0.1</c:v>
                </c:pt>
              </c:numCache>
            </c:numRef>
          </c:val>
          <c:extLst xmlns:c16r2="http://schemas.microsoft.com/office/drawing/2015/06/chart">
            <c:ext xmlns:c16="http://schemas.microsoft.com/office/drawing/2014/chart" uri="{C3380CC4-5D6E-409C-BE32-E72D297353CC}">
              <c16:uniqueId val="{0000000C-5A73-4C9E-A2BC-988E6BA8DB4B}"/>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54146770833333335"/>
          <c:y val="0.10971068616422949"/>
          <c:w val="0.43300208333333334"/>
          <c:h val="0.78298775153105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900">
          <a:latin typeface="+mj-lt"/>
        </a:defRPr>
      </a:pPr>
      <a:endParaRPr lang="pl-PL"/>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3"/>
          <c:order val="0"/>
          <c:tx>
            <c:strRef>
              <c:f>Arkusz19!$E$8</c:f>
              <c:strCache>
                <c:ptCount val="1"/>
                <c:pt idx="0">
                  <c:v>Odsetek urzędów administracji rządowej</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Arkusz19!$A$9:$A$16</c:f>
              <c:strCache>
                <c:ptCount val="8"/>
                <c:pt idx="0">
                  <c:v>Inne</c:v>
                </c:pt>
                <c:pt idx="1">
                  <c:v>Wgląd w siedzibie urzędu</c:v>
                </c:pt>
                <c:pt idx="2">
                  <c:v>Grupy robocze</c:v>
                </c:pt>
                <c:pt idx="3">
                  <c:v>Konferencje konsultacyjne</c:v>
                </c:pt>
                <c:pt idx="4">
                  <c:v>Spotkania robocze</c:v>
                </c:pt>
                <c:pt idx="5">
                  <c:v>Pocztą tradycyjną</c:v>
                </c:pt>
                <c:pt idx="6">
                  <c:v>Pocztą elektroniczną</c:v>
                </c:pt>
                <c:pt idx="7">
                  <c:v>Przez stronę internetową np. BIP</c:v>
                </c:pt>
              </c:strCache>
            </c:strRef>
          </c:cat>
          <c:val>
            <c:numRef>
              <c:f>Arkusz19!$E$9:$E$16</c:f>
              <c:numCache>
                <c:formatCode>0%</c:formatCode>
                <c:ptCount val="8"/>
                <c:pt idx="0">
                  <c:v>0.03</c:v>
                </c:pt>
                <c:pt idx="1">
                  <c:v>0.11</c:v>
                </c:pt>
                <c:pt idx="2">
                  <c:v>0.14000000000000001</c:v>
                </c:pt>
                <c:pt idx="3">
                  <c:v>0.22</c:v>
                </c:pt>
                <c:pt idx="4">
                  <c:v>0.25</c:v>
                </c:pt>
                <c:pt idx="5">
                  <c:v>0.42</c:v>
                </c:pt>
                <c:pt idx="6">
                  <c:v>0.44</c:v>
                </c:pt>
                <c:pt idx="7">
                  <c:v>0.47</c:v>
                </c:pt>
              </c:numCache>
            </c:numRef>
          </c:val>
          <c:extLst xmlns:c16r2="http://schemas.microsoft.com/office/drawing/2015/06/chart">
            <c:ext xmlns:c16="http://schemas.microsoft.com/office/drawing/2014/chart" uri="{C3380CC4-5D6E-409C-BE32-E72D297353CC}">
              <c16:uniqueId val="{00000000-CD97-4F1E-B523-4AAE05F82C6B}"/>
            </c:ext>
          </c:extLst>
        </c:ser>
        <c:ser>
          <c:idx val="4"/>
          <c:order val="1"/>
          <c:tx>
            <c:strRef>
              <c:f>Arkusz19!$F$8</c:f>
              <c:strCache>
                <c:ptCount val="1"/>
                <c:pt idx="0">
                  <c:v>Odsetek urzędów administracji samorządowej</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Arkusz19!$A$9:$A$16</c:f>
              <c:strCache>
                <c:ptCount val="8"/>
                <c:pt idx="0">
                  <c:v>Inne</c:v>
                </c:pt>
                <c:pt idx="1">
                  <c:v>Wgląd w siedzibie urzędu</c:v>
                </c:pt>
                <c:pt idx="2">
                  <c:v>Grupy robocze</c:v>
                </c:pt>
                <c:pt idx="3">
                  <c:v>Konferencje konsultacyjne</c:v>
                </c:pt>
                <c:pt idx="4">
                  <c:v>Spotkania robocze</c:v>
                </c:pt>
                <c:pt idx="5">
                  <c:v>Pocztą tradycyjną</c:v>
                </c:pt>
                <c:pt idx="6">
                  <c:v>Pocztą elektroniczną</c:v>
                </c:pt>
                <c:pt idx="7">
                  <c:v>Przez stronę internetową np. BIP</c:v>
                </c:pt>
              </c:strCache>
            </c:strRef>
          </c:cat>
          <c:val>
            <c:numRef>
              <c:f>Arkusz19!$F$9:$F$16</c:f>
              <c:numCache>
                <c:formatCode>0%</c:formatCode>
                <c:ptCount val="8"/>
                <c:pt idx="0">
                  <c:v>0.04</c:v>
                </c:pt>
                <c:pt idx="1">
                  <c:v>0.32</c:v>
                </c:pt>
                <c:pt idx="2">
                  <c:v>0.08</c:v>
                </c:pt>
                <c:pt idx="3">
                  <c:v>0.09</c:v>
                </c:pt>
                <c:pt idx="4">
                  <c:v>7.0000000000000007E-2</c:v>
                </c:pt>
                <c:pt idx="5">
                  <c:v>7.0000000000000007E-2</c:v>
                </c:pt>
                <c:pt idx="6">
                  <c:v>0.1</c:v>
                </c:pt>
                <c:pt idx="7">
                  <c:v>0.34</c:v>
                </c:pt>
              </c:numCache>
            </c:numRef>
          </c:val>
          <c:extLst xmlns:c16r2="http://schemas.microsoft.com/office/drawing/2015/06/chart">
            <c:ext xmlns:c16="http://schemas.microsoft.com/office/drawing/2014/chart" uri="{C3380CC4-5D6E-409C-BE32-E72D297353CC}">
              <c16:uniqueId val="{00000001-CD97-4F1E-B523-4AAE05F82C6B}"/>
            </c:ext>
          </c:extLst>
        </c:ser>
        <c:dLbls>
          <c:showLegendKey val="0"/>
          <c:showVal val="0"/>
          <c:showCatName val="0"/>
          <c:showSerName val="0"/>
          <c:showPercent val="0"/>
          <c:showBubbleSize val="0"/>
        </c:dLbls>
        <c:gapWidth val="60"/>
        <c:axId val="161571840"/>
        <c:axId val="187562176"/>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Arkusz19!$B$8</c15:sqref>
                        </c15:formulaRef>
                      </c:ext>
                    </c:extLst>
                    <c:strCache>
                      <c:ptCount val="1"/>
                    </c:strCache>
                  </c:strRef>
                </c:tx>
                <c:spPr>
                  <a:solidFill>
                    <a:schemeClr val="accent1"/>
                  </a:solidFill>
                  <a:ln>
                    <a:noFill/>
                  </a:ln>
                  <a:effectLst/>
                </c:spPr>
                <c:invertIfNegative val="0"/>
                <c:cat>
                  <c:strRef>
                    <c:extLst xmlns:c16r2="http://schemas.microsoft.com/office/drawing/2015/06/chart">
                      <c:ext uri="{02D57815-91ED-43cb-92C2-25804820EDAC}">
                        <c15:formulaRef>
                          <c15:sqref>Arkusz19!$A$9:$A$16</c15:sqref>
                        </c15:formulaRef>
                      </c:ext>
                    </c:extLst>
                    <c:strCache>
                      <c:ptCount val="8"/>
                      <c:pt idx="0">
                        <c:v>Inne</c:v>
                      </c:pt>
                      <c:pt idx="1">
                        <c:v>Wgląd w siedzibie urzędu</c:v>
                      </c:pt>
                      <c:pt idx="2">
                        <c:v>Grupy robocze</c:v>
                      </c:pt>
                      <c:pt idx="3">
                        <c:v>Konferencje konsultacyjne</c:v>
                      </c:pt>
                      <c:pt idx="4">
                        <c:v>Spotkania robocze</c:v>
                      </c:pt>
                      <c:pt idx="5">
                        <c:v>Pocztą tradycyjną</c:v>
                      </c:pt>
                      <c:pt idx="6">
                        <c:v>Pocztą elektroniczną</c:v>
                      </c:pt>
                      <c:pt idx="7">
                        <c:v>Przez stronę internetową np. BIP</c:v>
                      </c:pt>
                    </c:strCache>
                  </c:strRef>
                </c:cat>
                <c:val>
                  <c:numRef>
                    <c:extLst xmlns:c16r2="http://schemas.microsoft.com/office/drawing/2015/06/chart">
                      <c:ext uri="{02D57815-91ED-43cb-92C2-25804820EDAC}">
                        <c15:formulaRef>
                          <c15:sqref>Arkusz19!$B$9:$B$16</c15:sqref>
                        </c15:formulaRef>
                      </c:ext>
                    </c:extLst>
                    <c:numCache>
                      <c:formatCode>General</c:formatCode>
                      <c:ptCount val="8"/>
                    </c:numCache>
                  </c:numRef>
                </c:val>
                <c:extLst xmlns:c16r2="http://schemas.microsoft.com/office/drawing/2015/06/chart">
                  <c:ext xmlns:c16="http://schemas.microsoft.com/office/drawing/2014/chart" uri="{C3380CC4-5D6E-409C-BE32-E72D297353CC}">
                    <c16:uniqueId val="{00000002-CD97-4F1E-B523-4AAE05F82C6B}"/>
                  </c:ext>
                </c:extLst>
              </c15:ser>
            </c15:filteredBarSeries>
            <c15:filteredBarSeries>
              <c15:ser>
                <c:idx val="1"/>
                <c:order val="1"/>
                <c:tx>
                  <c:strRef>
                    <c:extLst xmlns:c15="http://schemas.microsoft.com/office/drawing/2012/chart" xmlns:c16r2="http://schemas.microsoft.com/office/drawing/2015/06/chart">
                      <c:ext xmlns:c15="http://schemas.microsoft.com/office/drawing/2012/chart" uri="{02D57815-91ED-43cb-92C2-25804820EDAC}">
                        <c15:formulaRef>
                          <c15:sqref>Arkusz19!$C$8</c15:sqref>
                        </c15:formulaRef>
                      </c:ext>
                    </c:extLst>
                    <c:strCache>
                      <c:ptCount val="1"/>
                    </c:strCache>
                  </c:strRef>
                </c:tx>
                <c:spPr>
                  <a:solidFill>
                    <a:schemeClr val="accent2"/>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Arkusz19!$A$9:$A$16</c15:sqref>
                        </c15:formulaRef>
                      </c:ext>
                    </c:extLst>
                    <c:strCache>
                      <c:ptCount val="8"/>
                      <c:pt idx="0">
                        <c:v>Inne</c:v>
                      </c:pt>
                      <c:pt idx="1">
                        <c:v>Wgląd w siedzibie urzędu</c:v>
                      </c:pt>
                      <c:pt idx="2">
                        <c:v>Grupy robocze</c:v>
                      </c:pt>
                      <c:pt idx="3">
                        <c:v>Konferencje konsultacyjne</c:v>
                      </c:pt>
                      <c:pt idx="4">
                        <c:v>Spotkania robocze</c:v>
                      </c:pt>
                      <c:pt idx="5">
                        <c:v>Pocztą tradycyjną</c:v>
                      </c:pt>
                      <c:pt idx="6">
                        <c:v>Pocztą elektroniczną</c:v>
                      </c:pt>
                      <c:pt idx="7">
                        <c:v>Przez stronę internetową np. BIP</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Arkusz19!$C$9:$C$16</c15:sqref>
                        </c15:formulaRef>
                      </c:ext>
                    </c:extLst>
                    <c:numCache>
                      <c:formatCode>General</c:formatCode>
                      <c:ptCount val="8"/>
                    </c:numCache>
                  </c:numRef>
                </c:val>
                <c:extLst xmlns:c15="http://schemas.microsoft.com/office/drawing/2012/chart" xmlns:c16r2="http://schemas.microsoft.com/office/drawing/2015/06/chart">
                  <c:ext xmlns:c16="http://schemas.microsoft.com/office/drawing/2014/chart" uri="{C3380CC4-5D6E-409C-BE32-E72D297353CC}">
                    <c16:uniqueId val="{00000003-CD97-4F1E-B523-4AAE05F82C6B}"/>
                  </c:ext>
                </c:extLst>
              </c15:ser>
            </c15:filteredBarSeries>
            <c15:filteredBarSeries>
              <c15:ser>
                <c:idx val="2"/>
                <c:order val="2"/>
                <c:tx>
                  <c:strRef>
                    <c:extLst xmlns:c15="http://schemas.microsoft.com/office/drawing/2012/chart" xmlns:c16r2="http://schemas.microsoft.com/office/drawing/2015/06/chart">
                      <c:ext xmlns:c15="http://schemas.microsoft.com/office/drawing/2012/chart" uri="{02D57815-91ED-43cb-92C2-25804820EDAC}">
                        <c15:formulaRef>
                          <c15:sqref>Arkusz19!$D$8</c15:sqref>
                        </c15:formulaRef>
                      </c:ext>
                    </c:extLst>
                    <c:strCache>
                      <c:ptCount val="1"/>
                    </c:strCache>
                  </c:strRef>
                </c:tx>
                <c:spPr>
                  <a:solidFill>
                    <a:schemeClr val="accent3"/>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Arkusz19!$A$9:$A$16</c15:sqref>
                        </c15:formulaRef>
                      </c:ext>
                    </c:extLst>
                    <c:strCache>
                      <c:ptCount val="8"/>
                      <c:pt idx="0">
                        <c:v>Inne</c:v>
                      </c:pt>
                      <c:pt idx="1">
                        <c:v>Wgląd w siedzibie urzędu</c:v>
                      </c:pt>
                      <c:pt idx="2">
                        <c:v>Grupy robocze</c:v>
                      </c:pt>
                      <c:pt idx="3">
                        <c:v>Konferencje konsultacyjne</c:v>
                      </c:pt>
                      <c:pt idx="4">
                        <c:v>Spotkania robocze</c:v>
                      </c:pt>
                      <c:pt idx="5">
                        <c:v>Pocztą tradycyjną</c:v>
                      </c:pt>
                      <c:pt idx="6">
                        <c:v>Pocztą elektroniczną</c:v>
                      </c:pt>
                      <c:pt idx="7">
                        <c:v>Przez stronę internetową np. BIP</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Arkusz19!$D$9:$D$16</c15:sqref>
                        </c15:formulaRef>
                      </c:ext>
                    </c:extLst>
                    <c:numCache>
                      <c:formatCode>General</c:formatCode>
                      <c:ptCount val="8"/>
                    </c:numCache>
                  </c:numRef>
                </c:val>
                <c:extLst xmlns:c15="http://schemas.microsoft.com/office/drawing/2012/chart" xmlns:c16r2="http://schemas.microsoft.com/office/drawing/2015/06/chart">
                  <c:ext xmlns:c16="http://schemas.microsoft.com/office/drawing/2014/chart" uri="{C3380CC4-5D6E-409C-BE32-E72D297353CC}">
                    <c16:uniqueId val="{00000004-CD97-4F1E-B523-4AAE05F82C6B}"/>
                  </c:ext>
                </c:extLst>
              </c15:ser>
            </c15:filteredBarSeries>
          </c:ext>
        </c:extLst>
      </c:barChart>
      <c:catAx>
        <c:axId val="1615718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crossAx val="187562176"/>
        <c:crosses val="autoZero"/>
        <c:auto val="1"/>
        <c:lblAlgn val="ctr"/>
        <c:lblOffset val="100"/>
        <c:noMultiLvlLbl val="0"/>
      </c:catAx>
      <c:valAx>
        <c:axId val="1875621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1571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5"/>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Arkusz2!$A$11:$A$19</c:f>
              <c:strCache>
                <c:ptCount val="9"/>
                <c:pt idx="0">
                  <c:v>Trudności w pozyskiwaniu środków na działalność</c:v>
                </c:pt>
                <c:pt idx="1">
                  <c:v>Niewystarczająca liczba chętnych do pracy społecznej</c:v>
                </c:pt>
                <c:pt idx="2">
                  <c:v>Problemy wynikające z przepisów i procedur prawnych</c:v>
                </c:pt>
                <c:pt idx="3">
                  <c:v>Problemy w kontaktach z administracją publiczną</c:v>
                </c:pt>
                <c:pt idx="4">
                  <c:v>Niewystarczające wsparcie społeczne</c:v>
                </c:pt>
                <c:pt idx="5">
                  <c:v>Problemy pojawiające się wewnątrz organizacji</c:v>
                </c:pt>
                <c:pt idx="6">
                  <c:v>Trudności wynikające ze współpracy z innymi organizacjami</c:v>
                </c:pt>
                <c:pt idx="7">
                  <c:v>Trudności ze znalezieniem pracowników</c:v>
                </c:pt>
                <c:pt idx="8">
                  <c:v>Trudności w kontaktach z mediami</c:v>
                </c:pt>
              </c:strCache>
            </c:strRef>
          </c:cat>
          <c:val>
            <c:numRef>
              <c:f>Arkusz2!$G$11:$G$19</c:f>
              <c:numCache>
                <c:formatCode>0%</c:formatCode>
                <c:ptCount val="9"/>
                <c:pt idx="0">
                  <c:v>0.42</c:v>
                </c:pt>
                <c:pt idx="1">
                  <c:v>0.28999999999999998</c:v>
                </c:pt>
                <c:pt idx="2">
                  <c:v>0.24</c:v>
                </c:pt>
                <c:pt idx="3">
                  <c:v>0.19</c:v>
                </c:pt>
                <c:pt idx="4">
                  <c:v>0.15</c:v>
                </c:pt>
                <c:pt idx="5">
                  <c:v>0.13</c:v>
                </c:pt>
                <c:pt idx="6">
                  <c:v>7.0000000000000007E-2</c:v>
                </c:pt>
                <c:pt idx="7">
                  <c:v>0.05</c:v>
                </c:pt>
                <c:pt idx="8">
                  <c:v>0.05</c:v>
                </c:pt>
              </c:numCache>
            </c:numRef>
          </c:val>
          <c:extLst xmlns:c16r2="http://schemas.microsoft.com/office/drawing/2015/06/chart">
            <c:ext xmlns:c16="http://schemas.microsoft.com/office/drawing/2014/chart" uri="{C3380CC4-5D6E-409C-BE32-E72D297353CC}">
              <c16:uniqueId val="{00000000-8CC1-4A8A-840B-E71470D547B5}"/>
            </c:ext>
          </c:extLst>
        </c:ser>
        <c:dLbls>
          <c:showLegendKey val="0"/>
          <c:showVal val="0"/>
          <c:showCatName val="0"/>
          <c:showSerName val="0"/>
          <c:showPercent val="0"/>
          <c:showBubbleSize val="0"/>
        </c:dLbls>
        <c:gapWidth val="60"/>
        <c:axId val="161417216"/>
        <c:axId val="182200576"/>
        <c:extLst xmlns:c16r2="http://schemas.microsoft.com/office/drawing/2015/06/chart">
          <c:ext xmlns:c15="http://schemas.microsoft.com/office/drawing/2012/chart" uri="{02D57815-91ED-43cb-92C2-25804820EDAC}">
            <c15:filteredBarSeries>
              <c15:ser>
                <c:idx val="0"/>
                <c:order val="0"/>
                <c:spPr>
                  <a:solidFill>
                    <a:schemeClr val="accent1"/>
                  </a:solidFill>
                  <a:ln>
                    <a:noFill/>
                  </a:ln>
                  <a:effectLst/>
                </c:spPr>
                <c:invertIfNegative val="0"/>
                <c:cat>
                  <c:strRef>
                    <c:extLst xmlns:c16r2="http://schemas.microsoft.com/office/drawing/2015/06/chart">
                      <c:ext uri="{02D57815-91ED-43cb-92C2-25804820EDAC}">
                        <c15:formulaRef>
                          <c15:sqref>Arkusz2!$A$11:$A$19</c15:sqref>
                        </c15:formulaRef>
                      </c:ext>
                    </c:extLst>
                    <c:strCache>
                      <c:ptCount val="9"/>
                      <c:pt idx="0">
                        <c:v>Trudności w pozyskiwaniu środków na działalność</c:v>
                      </c:pt>
                      <c:pt idx="1">
                        <c:v>Niewystarczająca liczba chętnych do pracy społecznej</c:v>
                      </c:pt>
                      <c:pt idx="2">
                        <c:v>Problemy wynikające z przepisów i procedur prawnych</c:v>
                      </c:pt>
                      <c:pt idx="3">
                        <c:v>Problemy w kontaktach z administracją publiczną</c:v>
                      </c:pt>
                      <c:pt idx="4">
                        <c:v>Niewystarczające wsparcie społeczne</c:v>
                      </c:pt>
                      <c:pt idx="5">
                        <c:v>Problemy pojawiające się wewnątrz organizacji</c:v>
                      </c:pt>
                      <c:pt idx="6">
                        <c:v>Trudności wynikające ze współpracy z innymi organizacjami</c:v>
                      </c:pt>
                      <c:pt idx="7">
                        <c:v>Trudności ze znalezieniem pracowników</c:v>
                      </c:pt>
                      <c:pt idx="8">
                        <c:v>Trudności w kontaktach z mediami</c:v>
                      </c:pt>
                    </c:strCache>
                  </c:strRef>
                </c:cat>
                <c:val>
                  <c:numRef>
                    <c:extLst xmlns:c16r2="http://schemas.microsoft.com/office/drawing/2015/06/chart">
                      <c:ext uri="{02D57815-91ED-43cb-92C2-25804820EDAC}">
                        <c15:formulaRef>
                          <c15:sqref>Arkusz2!$B$11:$B$19</c15:sqref>
                        </c15:formulaRef>
                      </c:ext>
                    </c:extLst>
                    <c:numCache>
                      <c:formatCode>General</c:formatCode>
                      <c:ptCount val="9"/>
                    </c:numCache>
                  </c:numRef>
                </c:val>
                <c:extLst xmlns:c16r2="http://schemas.microsoft.com/office/drawing/2015/06/chart">
                  <c:ext xmlns:c16="http://schemas.microsoft.com/office/drawing/2014/chart" uri="{C3380CC4-5D6E-409C-BE32-E72D297353CC}">
                    <c16:uniqueId val="{00000001-8CC1-4A8A-840B-E71470D547B5}"/>
                  </c:ext>
                </c:extLst>
              </c15:ser>
            </c15:filteredBarSeries>
            <c15:filteredBarSeries>
              <c15:ser>
                <c:idx val="1"/>
                <c:order val="1"/>
                <c:spPr>
                  <a:solidFill>
                    <a:schemeClr val="accent2"/>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Arkusz2!$A$11:$A$19</c15:sqref>
                        </c15:formulaRef>
                      </c:ext>
                    </c:extLst>
                    <c:strCache>
                      <c:ptCount val="9"/>
                      <c:pt idx="0">
                        <c:v>Trudności w pozyskiwaniu środków na działalność</c:v>
                      </c:pt>
                      <c:pt idx="1">
                        <c:v>Niewystarczająca liczba chętnych do pracy społecznej</c:v>
                      </c:pt>
                      <c:pt idx="2">
                        <c:v>Problemy wynikające z przepisów i procedur prawnych</c:v>
                      </c:pt>
                      <c:pt idx="3">
                        <c:v>Problemy w kontaktach z administracją publiczną</c:v>
                      </c:pt>
                      <c:pt idx="4">
                        <c:v>Niewystarczające wsparcie społeczne</c:v>
                      </c:pt>
                      <c:pt idx="5">
                        <c:v>Problemy pojawiające się wewnątrz organizacji</c:v>
                      </c:pt>
                      <c:pt idx="6">
                        <c:v>Trudności wynikające ze współpracy z innymi organizacjami</c:v>
                      </c:pt>
                      <c:pt idx="7">
                        <c:v>Trudności ze znalezieniem pracowników</c:v>
                      </c:pt>
                      <c:pt idx="8">
                        <c:v>Trudności w kontaktach z mediami</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Arkusz2!$C$11:$C$19</c15:sqref>
                        </c15:formulaRef>
                      </c:ext>
                    </c:extLst>
                    <c:numCache>
                      <c:formatCode>General</c:formatCode>
                      <c:ptCount val="9"/>
                    </c:numCache>
                  </c:numRef>
                </c:val>
                <c:extLst xmlns:c15="http://schemas.microsoft.com/office/drawing/2012/chart" xmlns:c16r2="http://schemas.microsoft.com/office/drawing/2015/06/chart">
                  <c:ext xmlns:c16="http://schemas.microsoft.com/office/drawing/2014/chart" uri="{C3380CC4-5D6E-409C-BE32-E72D297353CC}">
                    <c16:uniqueId val="{00000002-8CC1-4A8A-840B-E71470D547B5}"/>
                  </c:ext>
                </c:extLst>
              </c15:ser>
            </c15:filteredBarSeries>
            <c15:filteredBarSeries>
              <c15:ser>
                <c:idx val="2"/>
                <c:order val="2"/>
                <c:spPr>
                  <a:solidFill>
                    <a:schemeClr val="accent3"/>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Arkusz2!$A$11:$A$19</c15:sqref>
                        </c15:formulaRef>
                      </c:ext>
                    </c:extLst>
                    <c:strCache>
                      <c:ptCount val="9"/>
                      <c:pt idx="0">
                        <c:v>Trudności w pozyskiwaniu środków na działalność</c:v>
                      </c:pt>
                      <c:pt idx="1">
                        <c:v>Niewystarczająca liczba chętnych do pracy społecznej</c:v>
                      </c:pt>
                      <c:pt idx="2">
                        <c:v>Problemy wynikające z przepisów i procedur prawnych</c:v>
                      </c:pt>
                      <c:pt idx="3">
                        <c:v>Problemy w kontaktach z administracją publiczną</c:v>
                      </c:pt>
                      <c:pt idx="4">
                        <c:v>Niewystarczające wsparcie społeczne</c:v>
                      </c:pt>
                      <c:pt idx="5">
                        <c:v>Problemy pojawiające się wewnątrz organizacji</c:v>
                      </c:pt>
                      <c:pt idx="6">
                        <c:v>Trudności wynikające ze współpracy z innymi organizacjami</c:v>
                      </c:pt>
                      <c:pt idx="7">
                        <c:v>Trudności ze znalezieniem pracowników</c:v>
                      </c:pt>
                      <c:pt idx="8">
                        <c:v>Trudności w kontaktach z mediami</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Arkusz2!$D$11:$D$19</c15:sqref>
                        </c15:formulaRef>
                      </c:ext>
                    </c:extLst>
                    <c:numCache>
                      <c:formatCode>General</c:formatCode>
                      <c:ptCount val="9"/>
                    </c:numCache>
                  </c:numRef>
                </c:val>
                <c:extLst xmlns:c15="http://schemas.microsoft.com/office/drawing/2012/chart" xmlns:c16r2="http://schemas.microsoft.com/office/drawing/2015/06/chart">
                  <c:ext xmlns:c16="http://schemas.microsoft.com/office/drawing/2014/chart" uri="{C3380CC4-5D6E-409C-BE32-E72D297353CC}">
                    <c16:uniqueId val="{00000003-8CC1-4A8A-840B-E71470D547B5}"/>
                  </c:ext>
                </c:extLst>
              </c15:ser>
            </c15:filteredBarSeries>
            <c15:filteredBarSeries>
              <c15:ser>
                <c:idx val="3"/>
                <c:order val="3"/>
                <c:spPr>
                  <a:solidFill>
                    <a:schemeClr val="accent4"/>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Arkusz2!$A$11:$A$19</c15:sqref>
                        </c15:formulaRef>
                      </c:ext>
                    </c:extLst>
                    <c:strCache>
                      <c:ptCount val="9"/>
                      <c:pt idx="0">
                        <c:v>Trudności w pozyskiwaniu środków na działalność</c:v>
                      </c:pt>
                      <c:pt idx="1">
                        <c:v>Niewystarczająca liczba chętnych do pracy społecznej</c:v>
                      </c:pt>
                      <c:pt idx="2">
                        <c:v>Problemy wynikające z przepisów i procedur prawnych</c:v>
                      </c:pt>
                      <c:pt idx="3">
                        <c:v>Problemy w kontaktach z administracją publiczną</c:v>
                      </c:pt>
                      <c:pt idx="4">
                        <c:v>Niewystarczające wsparcie społeczne</c:v>
                      </c:pt>
                      <c:pt idx="5">
                        <c:v>Problemy pojawiające się wewnątrz organizacji</c:v>
                      </c:pt>
                      <c:pt idx="6">
                        <c:v>Trudności wynikające ze współpracy z innymi organizacjami</c:v>
                      </c:pt>
                      <c:pt idx="7">
                        <c:v>Trudności ze znalezieniem pracowników</c:v>
                      </c:pt>
                      <c:pt idx="8">
                        <c:v>Trudności w kontaktach z mediami</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Arkusz2!$E$11:$E$19</c15:sqref>
                        </c15:formulaRef>
                      </c:ext>
                    </c:extLst>
                    <c:numCache>
                      <c:formatCode>General</c:formatCode>
                      <c:ptCount val="9"/>
                    </c:numCache>
                  </c:numRef>
                </c:val>
                <c:extLst xmlns:c15="http://schemas.microsoft.com/office/drawing/2012/chart" xmlns:c16r2="http://schemas.microsoft.com/office/drawing/2015/06/chart">
                  <c:ext xmlns:c16="http://schemas.microsoft.com/office/drawing/2014/chart" uri="{C3380CC4-5D6E-409C-BE32-E72D297353CC}">
                    <c16:uniqueId val="{00000004-8CC1-4A8A-840B-E71470D547B5}"/>
                  </c:ext>
                </c:extLst>
              </c15:ser>
            </c15:filteredBarSeries>
            <c15:filteredBarSeries>
              <c15:ser>
                <c:idx val="4"/>
                <c:order val="4"/>
                <c:spPr>
                  <a:solidFill>
                    <a:schemeClr val="accent5"/>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Arkusz2!$A$11:$A$19</c15:sqref>
                        </c15:formulaRef>
                      </c:ext>
                    </c:extLst>
                    <c:strCache>
                      <c:ptCount val="9"/>
                      <c:pt idx="0">
                        <c:v>Trudności w pozyskiwaniu środków na działalność</c:v>
                      </c:pt>
                      <c:pt idx="1">
                        <c:v>Niewystarczająca liczba chętnych do pracy społecznej</c:v>
                      </c:pt>
                      <c:pt idx="2">
                        <c:v>Problemy wynikające z przepisów i procedur prawnych</c:v>
                      </c:pt>
                      <c:pt idx="3">
                        <c:v>Problemy w kontaktach z administracją publiczną</c:v>
                      </c:pt>
                      <c:pt idx="4">
                        <c:v>Niewystarczające wsparcie społeczne</c:v>
                      </c:pt>
                      <c:pt idx="5">
                        <c:v>Problemy pojawiające się wewnątrz organizacji</c:v>
                      </c:pt>
                      <c:pt idx="6">
                        <c:v>Trudności wynikające ze współpracy z innymi organizacjami</c:v>
                      </c:pt>
                      <c:pt idx="7">
                        <c:v>Trudności ze znalezieniem pracowników</c:v>
                      </c:pt>
                      <c:pt idx="8">
                        <c:v>Trudności w kontaktach z mediami</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Arkusz2!$F$11:$F$19</c15:sqref>
                        </c15:formulaRef>
                      </c:ext>
                    </c:extLst>
                    <c:numCache>
                      <c:formatCode>General</c:formatCode>
                      <c:ptCount val="9"/>
                    </c:numCache>
                  </c:numRef>
                </c:val>
                <c:extLst xmlns:c15="http://schemas.microsoft.com/office/drawing/2012/chart" xmlns:c16r2="http://schemas.microsoft.com/office/drawing/2015/06/chart">
                  <c:ext xmlns:c16="http://schemas.microsoft.com/office/drawing/2014/chart" uri="{C3380CC4-5D6E-409C-BE32-E72D297353CC}">
                    <c16:uniqueId val="{00000005-8CC1-4A8A-840B-E71470D547B5}"/>
                  </c:ext>
                </c:extLst>
              </c15:ser>
            </c15:filteredBarSeries>
          </c:ext>
        </c:extLst>
      </c:barChart>
      <c:catAx>
        <c:axId val="1614172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crossAx val="182200576"/>
        <c:crosses val="autoZero"/>
        <c:auto val="1"/>
        <c:lblAlgn val="ctr"/>
        <c:lblOffset val="100"/>
        <c:noMultiLvlLbl val="0"/>
      </c:catAx>
      <c:valAx>
        <c:axId val="182200576"/>
        <c:scaling>
          <c:orientation val="minMax"/>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614172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mj-lt"/>
        </a:defRPr>
      </a:pPr>
      <a:endParaRPr lang="pl-PL"/>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Arkusz20!$A$5:$A$15</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Arkusz20!$B$5:$B$15</c:f>
              <c:numCache>
                <c:formatCode>General</c:formatCode>
                <c:ptCount val="11"/>
                <c:pt idx="0">
                  <c:v>1040</c:v>
                </c:pt>
                <c:pt idx="1">
                  <c:v>1453</c:v>
                </c:pt>
                <c:pt idx="2">
                  <c:v>1186</c:v>
                </c:pt>
                <c:pt idx="3">
                  <c:v>2278</c:v>
                </c:pt>
                <c:pt idx="4">
                  <c:v>2328</c:v>
                </c:pt>
                <c:pt idx="5">
                  <c:v>3211</c:v>
                </c:pt>
                <c:pt idx="6">
                  <c:v>1646</c:v>
                </c:pt>
                <c:pt idx="7">
                  <c:v>1325</c:v>
                </c:pt>
                <c:pt idx="8">
                  <c:v>1141</c:v>
                </c:pt>
                <c:pt idx="9">
                  <c:v>1403</c:v>
                </c:pt>
                <c:pt idx="10">
                  <c:v>1398</c:v>
                </c:pt>
              </c:numCache>
            </c:numRef>
          </c:val>
          <c:extLst xmlns:c16r2="http://schemas.microsoft.com/office/drawing/2015/06/chart">
            <c:ext xmlns:c16="http://schemas.microsoft.com/office/drawing/2014/chart" uri="{C3380CC4-5D6E-409C-BE32-E72D297353CC}">
              <c16:uniqueId val="{00000000-5930-4044-B14A-5CB355FFEF72}"/>
            </c:ext>
          </c:extLst>
        </c:ser>
        <c:dLbls>
          <c:showLegendKey val="0"/>
          <c:showVal val="0"/>
          <c:showCatName val="0"/>
          <c:showSerName val="0"/>
          <c:showPercent val="0"/>
          <c:showBubbleSize val="0"/>
        </c:dLbls>
        <c:gapWidth val="45"/>
        <c:overlap val="-27"/>
        <c:axId val="161573376"/>
        <c:axId val="188145664"/>
      </c:barChart>
      <c:catAx>
        <c:axId val="161573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8145664"/>
        <c:crosses val="autoZero"/>
        <c:auto val="1"/>
        <c:lblAlgn val="ctr"/>
        <c:lblOffset val="100"/>
        <c:noMultiLvlLbl val="0"/>
      </c:catAx>
      <c:valAx>
        <c:axId val="188145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15733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83198879281193"/>
          <c:y val="3.3107599699021821E-2"/>
          <c:w val="0.82417210118673812"/>
          <c:h val="0.89149238963639699"/>
        </c:manualLayout>
      </c:layout>
      <c:barChart>
        <c:barDir val="col"/>
        <c:grouping val="percentStacked"/>
        <c:varyColors val="0"/>
        <c:ser>
          <c:idx val="8"/>
          <c:order val="0"/>
          <c:tx>
            <c:strRef>
              <c:f>Arkusz1!$C$39</c:f>
              <c:strCache>
                <c:ptCount val="1"/>
                <c:pt idx="0">
                  <c:v>Priorytet 6</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lt1"/>
                    </a:solidFill>
                    <a:latin typeface="+mj-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val>
            <c:numRef>
              <c:f>Arkusz1!$D$39:$P$39</c:f>
              <c:numCache>
                <c:formatCode>0%</c:formatCode>
                <c:ptCount val="13"/>
                <c:pt idx="0">
                  <c:v>0.04</c:v>
                </c:pt>
                <c:pt idx="1">
                  <c:v>0.04</c:v>
                </c:pt>
                <c:pt idx="2">
                  <c:v>0.04</c:v>
                </c:pt>
                <c:pt idx="3">
                  <c:v>0.04</c:v>
                </c:pt>
                <c:pt idx="4">
                  <c:v>0.04</c:v>
                </c:pt>
                <c:pt idx="5">
                  <c:v>0.04</c:v>
                </c:pt>
                <c:pt idx="6">
                  <c:v>0.04</c:v>
                </c:pt>
                <c:pt idx="7">
                  <c:v>0.04</c:v>
                </c:pt>
                <c:pt idx="8">
                  <c:v>0.04</c:v>
                </c:pt>
                <c:pt idx="9">
                  <c:v>0.04</c:v>
                </c:pt>
                <c:pt idx="10">
                  <c:v>0.04</c:v>
                </c:pt>
                <c:pt idx="11">
                  <c:v>0.04</c:v>
                </c:pt>
                <c:pt idx="12">
                  <c:v>0.04</c:v>
                </c:pt>
              </c:numCache>
            </c:numRef>
          </c:val>
          <c:extLst xmlns:c16r2="http://schemas.microsoft.com/office/drawing/2015/06/chart">
            <c:ext xmlns:c16="http://schemas.microsoft.com/office/drawing/2014/chart" uri="{C3380CC4-5D6E-409C-BE32-E72D297353CC}">
              <c16:uniqueId val="{00000000-39EF-4C17-9D29-DE45B062891B}"/>
            </c:ext>
          </c:extLst>
        </c:ser>
        <c:ser>
          <c:idx val="7"/>
          <c:order val="1"/>
          <c:tx>
            <c:strRef>
              <c:f>Arkusz1!$C$38</c:f>
              <c:strCache>
                <c:ptCount val="1"/>
                <c:pt idx="0">
                  <c:v>Priorytet 5</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lt1"/>
                    </a:solidFill>
                    <a:latin typeface="+mj-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Arkusz1!$D$21:$P$21</c:f>
              <c:numCache>
                <c:formatCode>General</c:formatCode>
                <c:ptCount val="1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numCache>
            </c:numRef>
          </c:cat>
          <c:val>
            <c:numRef>
              <c:f>Arkusz1!$D$38:$P$38</c:f>
              <c:numCache>
                <c:formatCode>0%</c:formatCode>
                <c:ptCount val="13"/>
                <c:pt idx="0">
                  <c:v>0.04</c:v>
                </c:pt>
                <c:pt idx="1">
                  <c:v>0.04</c:v>
                </c:pt>
                <c:pt idx="2">
                  <c:v>0.04</c:v>
                </c:pt>
                <c:pt idx="3">
                  <c:v>0.04</c:v>
                </c:pt>
                <c:pt idx="4">
                  <c:v>0.04</c:v>
                </c:pt>
                <c:pt idx="5">
                  <c:v>0.04</c:v>
                </c:pt>
                <c:pt idx="6">
                  <c:v>0.04</c:v>
                </c:pt>
                <c:pt idx="7">
                  <c:v>0.04</c:v>
                </c:pt>
                <c:pt idx="8">
                  <c:v>0.04</c:v>
                </c:pt>
                <c:pt idx="9">
                  <c:v>0.04</c:v>
                </c:pt>
                <c:pt idx="10">
                  <c:v>0.04</c:v>
                </c:pt>
                <c:pt idx="11">
                  <c:v>0.04</c:v>
                </c:pt>
                <c:pt idx="12">
                  <c:v>0.04</c:v>
                </c:pt>
              </c:numCache>
            </c:numRef>
          </c:val>
          <c:extLst xmlns:c16r2="http://schemas.microsoft.com/office/drawing/2015/06/chart">
            <c:ext xmlns:c16="http://schemas.microsoft.com/office/drawing/2014/chart" uri="{C3380CC4-5D6E-409C-BE32-E72D297353CC}">
              <c16:uniqueId val="{00000001-39EF-4C17-9D29-DE45B062891B}"/>
            </c:ext>
          </c:extLst>
        </c:ser>
        <c:ser>
          <c:idx val="6"/>
          <c:order val="2"/>
          <c:tx>
            <c:strRef>
              <c:f>Arkusz1!$C$37</c:f>
              <c:strCache>
                <c:ptCount val="1"/>
                <c:pt idx="0">
                  <c:v>Priorytet 4</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lt1"/>
                    </a:solidFill>
                    <a:latin typeface="+mj-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Arkusz1!$D$21:$P$21</c:f>
              <c:numCache>
                <c:formatCode>General</c:formatCode>
                <c:ptCount val="1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numCache>
            </c:numRef>
          </c:cat>
          <c:val>
            <c:numRef>
              <c:f>Arkusz1!$D$37:$P$37</c:f>
              <c:numCache>
                <c:formatCode>0%</c:formatCode>
                <c:ptCount val="13"/>
                <c:pt idx="0">
                  <c:v>0.08</c:v>
                </c:pt>
                <c:pt idx="1">
                  <c:v>0.08</c:v>
                </c:pt>
                <c:pt idx="2">
                  <c:v>0.08</c:v>
                </c:pt>
                <c:pt idx="3">
                  <c:v>0.08</c:v>
                </c:pt>
                <c:pt idx="4">
                  <c:v>0.08</c:v>
                </c:pt>
                <c:pt idx="5">
                  <c:v>0.08</c:v>
                </c:pt>
                <c:pt idx="6">
                  <c:v>0.08</c:v>
                </c:pt>
                <c:pt idx="7">
                  <c:v>0.08</c:v>
                </c:pt>
                <c:pt idx="8">
                  <c:v>0.08</c:v>
                </c:pt>
                <c:pt idx="9">
                  <c:v>0.08</c:v>
                </c:pt>
                <c:pt idx="10">
                  <c:v>0.08</c:v>
                </c:pt>
                <c:pt idx="11">
                  <c:v>0.08</c:v>
                </c:pt>
                <c:pt idx="12">
                  <c:v>0.08</c:v>
                </c:pt>
              </c:numCache>
            </c:numRef>
          </c:val>
          <c:extLst xmlns:c16r2="http://schemas.microsoft.com/office/drawing/2015/06/chart">
            <c:ext xmlns:c16="http://schemas.microsoft.com/office/drawing/2014/chart" uri="{C3380CC4-5D6E-409C-BE32-E72D297353CC}">
              <c16:uniqueId val="{00000002-39EF-4C17-9D29-DE45B062891B}"/>
            </c:ext>
          </c:extLst>
        </c:ser>
        <c:ser>
          <c:idx val="5"/>
          <c:order val="3"/>
          <c:tx>
            <c:strRef>
              <c:f>Arkusz1!$C$36</c:f>
              <c:strCache>
                <c:ptCount val="1"/>
                <c:pt idx="0">
                  <c:v>Priorytet 3</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lt1"/>
                    </a:solidFill>
                    <a:latin typeface="+mj-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Arkusz1!$D$21:$P$21</c:f>
              <c:numCache>
                <c:formatCode>General</c:formatCode>
                <c:ptCount val="1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numCache>
            </c:numRef>
          </c:cat>
          <c:val>
            <c:numRef>
              <c:f>Arkusz1!$D$36:$P$36</c:f>
              <c:numCache>
                <c:formatCode>0%</c:formatCode>
                <c:ptCount val="13"/>
                <c:pt idx="0">
                  <c:v>0.08</c:v>
                </c:pt>
                <c:pt idx="1">
                  <c:v>0.08</c:v>
                </c:pt>
                <c:pt idx="2">
                  <c:v>0.08</c:v>
                </c:pt>
                <c:pt idx="3">
                  <c:v>0.08</c:v>
                </c:pt>
                <c:pt idx="4">
                  <c:v>0.08</c:v>
                </c:pt>
                <c:pt idx="5">
                  <c:v>0.08</c:v>
                </c:pt>
                <c:pt idx="6">
                  <c:v>0.08</c:v>
                </c:pt>
                <c:pt idx="7">
                  <c:v>0.08</c:v>
                </c:pt>
                <c:pt idx="8">
                  <c:v>0.08</c:v>
                </c:pt>
                <c:pt idx="9">
                  <c:v>0.08</c:v>
                </c:pt>
                <c:pt idx="10">
                  <c:v>0.08</c:v>
                </c:pt>
                <c:pt idx="11">
                  <c:v>0.08</c:v>
                </c:pt>
                <c:pt idx="12">
                  <c:v>0.08</c:v>
                </c:pt>
              </c:numCache>
            </c:numRef>
          </c:val>
          <c:extLst xmlns:c16r2="http://schemas.microsoft.com/office/drawing/2015/06/chart">
            <c:ext xmlns:c16="http://schemas.microsoft.com/office/drawing/2014/chart" uri="{C3380CC4-5D6E-409C-BE32-E72D297353CC}">
              <c16:uniqueId val="{00000003-39EF-4C17-9D29-DE45B062891B}"/>
            </c:ext>
          </c:extLst>
        </c:ser>
        <c:ser>
          <c:idx val="4"/>
          <c:order val="4"/>
          <c:tx>
            <c:strRef>
              <c:f>Arkusz1!$C$35</c:f>
              <c:strCache>
                <c:ptCount val="1"/>
                <c:pt idx="0">
                  <c:v>Priorytet 2c</c:v>
                </c:pt>
              </c:strCache>
            </c:strRef>
          </c:tx>
          <c:spPr>
            <a:solidFill>
              <a:schemeClr val="accent5"/>
            </a:solidFill>
            <a:ln>
              <a:noFill/>
            </a:ln>
            <a:effectLst/>
          </c:spPr>
          <c:invertIfNegative val="0"/>
          <c:dLbls>
            <c:dLbl>
              <c:idx val="0"/>
              <c:delete val="1"/>
              <c:extLst xmlns:c16r2="http://schemas.microsoft.com/office/drawing/2015/06/chart">
                <c:ext xmlns:c16="http://schemas.microsoft.com/office/drawing/2014/chart" uri="{C3380CC4-5D6E-409C-BE32-E72D297353CC}">
                  <c16:uniqueId val="{00000004-39EF-4C17-9D29-DE45B062891B}"/>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5-39EF-4C17-9D29-DE45B062891B}"/>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6-39EF-4C17-9D29-DE45B062891B}"/>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7-39EF-4C17-9D29-DE45B062891B}"/>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8-39EF-4C17-9D29-DE45B062891B}"/>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9-39EF-4C17-9D29-DE45B062891B}"/>
                </c:ext>
                <c:ext xmlns:c15="http://schemas.microsoft.com/office/drawing/2012/chart" uri="{CE6537A1-D6FC-4f65-9D91-7224C49458BB}"/>
              </c:extLst>
            </c:dLbl>
            <c:dLbl>
              <c:idx val="8"/>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39EF-4C17-9D29-DE45B062891B}"/>
                </c:ex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050" b="0" i="0" u="none" strike="noStrike" kern="1200" baseline="0">
                    <a:solidFill>
                      <a:schemeClr val="lt1"/>
                    </a:solidFill>
                    <a:latin typeface="+mj-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Arkusz1!$D$21:$P$21</c:f>
              <c:numCache>
                <c:formatCode>General</c:formatCode>
                <c:ptCount val="1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numCache>
            </c:numRef>
          </c:cat>
          <c:val>
            <c:numRef>
              <c:f>Arkusz1!$D$35:$P$35</c:f>
              <c:numCache>
                <c:formatCode>0%</c:formatCode>
                <c:ptCount val="13"/>
                <c:pt idx="0">
                  <c:v>0</c:v>
                </c:pt>
                <c:pt idx="1">
                  <c:v>0</c:v>
                </c:pt>
                <c:pt idx="2">
                  <c:v>0</c:v>
                </c:pt>
                <c:pt idx="3">
                  <c:v>0</c:v>
                </c:pt>
                <c:pt idx="4">
                  <c:v>0</c:v>
                </c:pt>
                <c:pt idx="5">
                  <c:v>0</c:v>
                </c:pt>
                <c:pt idx="6">
                  <c:v>7.0000000000000007E-2</c:v>
                </c:pt>
                <c:pt idx="7">
                  <c:v>7.0000000000000007E-2</c:v>
                </c:pt>
                <c:pt idx="8">
                  <c:v>7.0000000000000007E-2</c:v>
                </c:pt>
                <c:pt idx="9">
                  <c:v>7.0000000000000007E-2</c:v>
                </c:pt>
                <c:pt idx="10">
                  <c:v>7.0000000000000007E-2</c:v>
                </c:pt>
                <c:pt idx="11">
                  <c:v>7.0000000000000007E-2</c:v>
                </c:pt>
                <c:pt idx="12">
                  <c:v>7.0000000000000007E-2</c:v>
                </c:pt>
              </c:numCache>
            </c:numRef>
          </c:val>
          <c:extLst xmlns:c16r2="http://schemas.microsoft.com/office/drawing/2015/06/chart">
            <c:ext xmlns:c16="http://schemas.microsoft.com/office/drawing/2014/chart" uri="{C3380CC4-5D6E-409C-BE32-E72D297353CC}">
              <c16:uniqueId val="{0000000B-39EF-4C17-9D29-DE45B062891B}"/>
            </c:ext>
          </c:extLst>
        </c:ser>
        <c:ser>
          <c:idx val="3"/>
          <c:order val="5"/>
          <c:tx>
            <c:strRef>
              <c:f>Arkusz1!$C$34</c:f>
              <c:strCache>
                <c:ptCount val="1"/>
                <c:pt idx="0">
                  <c:v>Priorytet 2b</c:v>
                </c:pt>
              </c:strCache>
            </c:strRef>
          </c:tx>
          <c:spPr>
            <a:solidFill>
              <a:schemeClr val="accent4"/>
            </a:solidFill>
            <a:ln>
              <a:noFill/>
            </a:ln>
            <a:effectLst/>
          </c:spPr>
          <c:invertIfNegative val="0"/>
          <c:dLbls>
            <c:dLbl>
              <c:idx val="0"/>
              <c:delete val="1"/>
              <c:extLst xmlns:c16r2="http://schemas.microsoft.com/office/drawing/2015/06/chart">
                <c:ext xmlns:c16="http://schemas.microsoft.com/office/drawing/2014/chart" uri="{C3380CC4-5D6E-409C-BE32-E72D297353CC}">
                  <c16:uniqueId val="{0000000C-39EF-4C17-9D29-DE45B062891B}"/>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D-39EF-4C17-9D29-DE45B062891B}"/>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E-39EF-4C17-9D29-DE45B062891B}"/>
                </c:ext>
                <c:ext xmlns:c15="http://schemas.microsoft.com/office/drawing/2012/chart" uri="{CE6537A1-D6FC-4f65-9D91-7224C49458BB}"/>
              </c:extLst>
            </c:dLbl>
            <c:dLbl>
              <c:idx val="4"/>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39EF-4C17-9D29-DE45B062891B}"/>
                </c:ext>
                <c:ext xmlns:c15="http://schemas.microsoft.com/office/drawing/2012/chart" uri="{CE6537A1-D6FC-4f65-9D91-7224C49458BB}">
                  <c15:layout/>
                </c:ext>
              </c:extLst>
            </c:dLbl>
            <c:dLbl>
              <c:idx val="12"/>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39EF-4C17-9D29-DE45B062891B}"/>
                </c:ex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050" b="0" i="0" u="none" strike="noStrike" kern="1200" baseline="0">
                    <a:solidFill>
                      <a:schemeClr val="lt1"/>
                    </a:solidFill>
                    <a:latin typeface="+mj-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Arkusz1!$D$21:$P$21</c:f>
              <c:numCache>
                <c:formatCode>General</c:formatCode>
                <c:ptCount val="1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numCache>
            </c:numRef>
          </c:cat>
          <c:val>
            <c:numRef>
              <c:f>Arkusz1!$D$34:$P$34</c:f>
              <c:numCache>
                <c:formatCode>0%</c:formatCode>
                <c:ptCount val="13"/>
                <c:pt idx="0">
                  <c:v>0</c:v>
                </c:pt>
                <c:pt idx="1">
                  <c:v>0</c:v>
                </c:pt>
                <c:pt idx="2">
                  <c:v>0</c:v>
                </c:pt>
                <c:pt idx="3">
                  <c:v>0.05</c:v>
                </c:pt>
                <c:pt idx="4">
                  <c:v>0.05</c:v>
                </c:pt>
                <c:pt idx="5">
                  <c:v>0.05</c:v>
                </c:pt>
                <c:pt idx="6">
                  <c:v>0.05</c:v>
                </c:pt>
                <c:pt idx="7">
                  <c:v>7.0000000000000007E-2</c:v>
                </c:pt>
                <c:pt idx="8">
                  <c:v>7.0000000000000007E-2</c:v>
                </c:pt>
                <c:pt idx="9">
                  <c:v>7.0000000000000007E-2</c:v>
                </c:pt>
                <c:pt idx="10">
                  <c:v>7.0000000000000007E-2</c:v>
                </c:pt>
                <c:pt idx="11">
                  <c:v>7.0000000000000007E-2</c:v>
                </c:pt>
                <c:pt idx="12">
                  <c:v>7.0000000000000007E-2</c:v>
                </c:pt>
              </c:numCache>
            </c:numRef>
          </c:val>
          <c:extLst xmlns:c16r2="http://schemas.microsoft.com/office/drawing/2015/06/chart">
            <c:ext xmlns:c16="http://schemas.microsoft.com/office/drawing/2014/chart" uri="{C3380CC4-5D6E-409C-BE32-E72D297353CC}">
              <c16:uniqueId val="{00000011-39EF-4C17-9D29-DE45B062891B}"/>
            </c:ext>
          </c:extLst>
        </c:ser>
        <c:ser>
          <c:idx val="2"/>
          <c:order val="6"/>
          <c:tx>
            <c:strRef>
              <c:f>Arkusz1!$C$33</c:f>
              <c:strCache>
                <c:ptCount val="1"/>
                <c:pt idx="0">
                  <c:v>Priorytet 2a</c:v>
                </c:pt>
              </c:strCache>
            </c:strRef>
          </c:tx>
          <c:spPr>
            <a:solidFill>
              <a:schemeClr val="accent3"/>
            </a:solidFill>
            <a:ln>
              <a:noFill/>
            </a:ln>
            <a:effectLst/>
          </c:spPr>
          <c:invertIfNegative val="0"/>
          <c:dLbls>
            <c:dLbl>
              <c:idx val="1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39EF-4C17-9D29-DE45B062891B}"/>
                </c:ext>
                <c:ext xmlns:c15="http://schemas.microsoft.com/office/drawing/2012/chart" uri="{CE6537A1-D6FC-4f65-9D91-7224C49458BB}">
                  <c15:layout/>
                </c:ext>
              </c:extLst>
            </c:dLbl>
            <c:dLbl>
              <c:idx val="11"/>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39EF-4C17-9D29-DE45B062891B}"/>
                </c:ext>
                <c:ext xmlns:c15="http://schemas.microsoft.com/office/drawing/2012/chart" uri="{CE6537A1-D6FC-4f65-9D91-7224C49458BB}">
                  <c15:layout/>
                </c:ext>
              </c:extLst>
            </c:dLbl>
            <c:dLbl>
              <c:idx val="12"/>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39EF-4C17-9D29-DE45B062891B}"/>
                </c:ex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050" b="0" i="0" u="none" strike="noStrike" kern="1200" baseline="0">
                    <a:solidFill>
                      <a:schemeClr val="lt1"/>
                    </a:solidFill>
                    <a:latin typeface="+mj-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Arkusz1!$D$21:$P$21</c:f>
              <c:numCache>
                <c:formatCode>General</c:formatCode>
                <c:ptCount val="1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numCache>
            </c:numRef>
          </c:cat>
          <c:val>
            <c:numRef>
              <c:f>Arkusz1!$D$33:$P$33</c:f>
              <c:numCache>
                <c:formatCode>0%</c:formatCode>
                <c:ptCount val="13"/>
                <c:pt idx="0">
                  <c:v>0.1</c:v>
                </c:pt>
                <c:pt idx="1">
                  <c:v>0.1</c:v>
                </c:pt>
                <c:pt idx="2">
                  <c:v>0.1</c:v>
                </c:pt>
                <c:pt idx="3">
                  <c:v>0.1</c:v>
                </c:pt>
                <c:pt idx="4">
                  <c:v>0.1</c:v>
                </c:pt>
                <c:pt idx="5">
                  <c:v>0.1</c:v>
                </c:pt>
                <c:pt idx="6">
                  <c:v>0.1</c:v>
                </c:pt>
                <c:pt idx="7">
                  <c:v>0.1</c:v>
                </c:pt>
                <c:pt idx="8">
                  <c:v>0.1</c:v>
                </c:pt>
                <c:pt idx="9">
                  <c:v>0.1</c:v>
                </c:pt>
                <c:pt idx="10">
                  <c:v>0.1</c:v>
                </c:pt>
                <c:pt idx="11">
                  <c:v>0.1</c:v>
                </c:pt>
                <c:pt idx="12">
                  <c:v>0.1</c:v>
                </c:pt>
              </c:numCache>
            </c:numRef>
          </c:val>
          <c:extLst xmlns:c16r2="http://schemas.microsoft.com/office/drawing/2015/06/chart">
            <c:ext xmlns:c16="http://schemas.microsoft.com/office/drawing/2014/chart" uri="{C3380CC4-5D6E-409C-BE32-E72D297353CC}">
              <c16:uniqueId val="{00000015-39EF-4C17-9D29-DE45B062891B}"/>
            </c:ext>
          </c:extLst>
        </c:ser>
        <c:ser>
          <c:idx val="1"/>
          <c:order val="7"/>
          <c:tx>
            <c:strRef>
              <c:f>Arkusz1!$C$32</c:f>
              <c:strCache>
                <c:ptCount val="1"/>
                <c:pt idx="0">
                  <c:v>Priorytet 1b</c:v>
                </c:pt>
              </c:strCache>
            </c:strRef>
          </c:tx>
          <c:spPr>
            <a:solidFill>
              <a:schemeClr val="accent2"/>
            </a:solidFill>
            <a:ln>
              <a:noFill/>
            </a:ln>
            <a:effectLst/>
          </c:spPr>
          <c:invertIfNegative val="0"/>
          <c:dLbls>
            <c:dLbl>
              <c:idx val="0"/>
              <c:delete val="1"/>
              <c:extLst xmlns:c16r2="http://schemas.microsoft.com/office/drawing/2015/06/chart">
                <c:ext xmlns:c16="http://schemas.microsoft.com/office/drawing/2014/chart" uri="{C3380CC4-5D6E-409C-BE32-E72D297353CC}">
                  <c16:uniqueId val="{00000016-39EF-4C17-9D29-DE45B062891B}"/>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050" b="0" i="0" u="none" strike="noStrike" kern="1200" baseline="0">
                    <a:solidFill>
                      <a:schemeClr val="lt1"/>
                    </a:solidFill>
                    <a:latin typeface="+mj-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Arkusz1!$D$21:$P$21</c:f>
              <c:numCache>
                <c:formatCode>General</c:formatCode>
                <c:ptCount val="1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numCache>
            </c:numRef>
          </c:cat>
          <c:val>
            <c:numRef>
              <c:f>Arkusz1!$D$32:$P$32</c:f>
              <c:numCache>
                <c:formatCode>0%</c:formatCode>
                <c:ptCount val="13"/>
                <c:pt idx="0">
                  <c:v>0</c:v>
                </c:pt>
                <c:pt idx="1">
                  <c:v>0.04</c:v>
                </c:pt>
                <c:pt idx="2">
                  <c:v>0.04</c:v>
                </c:pt>
                <c:pt idx="3">
                  <c:v>0.04</c:v>
                </c:pt>
                <c:pt idx="4">
                  <c:v>0.04</c:v>
                </c:pt>
                <c:pt idx="5">
                  <c:v>0.04</c:v>
                </c:pt>
                <c:pt idx="6">
                  <c:v>0.04</c:v>
                </c:pt>
                <c:pt idx="7">
                  <c:v>0.04</c:v>
                </c:pt>
                <c:pt idx="8">
                  <c:v>0.04</c:v>
                </c:pt>
                <c:pt idx="9">
                  <c:v>0.04</c:v>
                </c:pt>
                <c:pt idx="10">
                  <c:v>0.04</c:v>
                </c:pt>
                <c:pt idx="11">
                  <c:v>0.04</c:v>
                </c:pt>
                <c:pt idx="12">
                  <c:v>0.04</c:v>
                </c:pt>
              </c:numCache>
            </c:numRef>
          </c:val>
          <c:extLst xmlns:c16r2="http://schemas.microsoft.com/office/drawing/2015/06/chart">
            <c:ext xmlns:c16="http://schemas.microsoft.com/office/drawing/2014/chart" uri="{C3380CC4-5D6E-409C-BE32-E72D297353CC}">
              <c16:uniqueId val="{00000017-39EF-4C17-9D29-DE45B062891B}"/>
            </c:ext>
          </c:extLst>
        </c:ser>
        <c:ser>
          <c:idx val="0"/>
          <c:order val="8"/>
          <c:tx>
            <c:strRef>
              <c:f>Arkusz1!$C$31</c:f>
              <c:strCache>
                <c:ptCount val="1"/>
                <c:pt idx="0">
                  <c:v>Priorytet 1a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lt1"/>
                    </a:solidFill>
                    <a:latin typeface="+mj-lt"/>
                    <a:ea typeface="+mn-ea"/>
                    <a:cs typeface="+mn-cs"/>
                  </a:defRPr>
                </a:pPr>
                <a:endParaRPr lang="pl-PL"/>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Arkusz1!$D$21:$P$21</c:f>
              <c:numCache>
                <c:formatCode>General</c:formatCode>
                <c:ptCount val="13"/>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numCache>
            </c:numRef>
          </c:cat>
          <c:val>
            <c:numRef>
              <c:f>Arkusz1!$D$31:$P$31</c:f>
              <c:numCache>
                <c:formatCode>0%</c:formatCode>
                <c:ptCount val="13"/>
                <c:pt idx="0">
                  <c:v>0.66</c:v>
                </c:pt>
                <c:pt idx="1">
                  <c:v>0.62</c:v>
                </c:pt>
                <c:pt idx="2">
                  <c:v>0.62</c:v>
                </c:pt>
                <c:pt idx="3">
                  <c:v>0.56999999999999995</c:v>
                </c:pt>
                <c:pt idx="4">
                  <c:v>0.56999999999999995</c:v>
                </c:pt>
                <c:pt idx="5">
                  <c:v>0.56999999999999995</c:v>
                </c:pt>
                <c:pt idx="6">
                  <c:v>0.5</c:v>
                </c:pt>
                <c:pt idx="7">
                  <c:v>0.48</c:v>
                </c:pt>
                <c:pt idx="8">
                  <c:v>0.48</c:v>
                </c:pt>
                <c:pt idx="9">
                  <c:v>0.48</c:v>
                </c:pt>
                <c:pt idx="10">
                  <c:v>0.48</c:v>
                </c:pt>
                <c:pt idx="11">
                  <c:v>0.48</c:v>
                </c:pt>
                <c:pt idx="12">
                  <c:v>0.48</c:v>
                </c:pt>
              </c:numCache>
            </c:numRef>
          </c:val>
          <c:extLst xmlns:c16r2="http://schemas.microsoft.com/office/drawing/2015/06/chart">
            <c:ext xmlns:c16="http://schemas.microsoft.com/office/drawing/2014/chart" uri="{C3380CC4-5D6E-409C-BE32-E72D297353CC}">
              <c16:uniqueId val="{00000018-39EF-4C17-9D29-DE45B062891B}"/>
            </c:ext>
          </c:extLst>
        </c:ser>
        <c:dLbls>
          <c:dLblPos val="ctr"/>
          <c:showLegendKey val="0"/>
          <c:showVal val="1"/>
          <c:showCatName val="0"/>
          <c:showSerName val="0"/>
          <c:showPercent val="0"/>
          <c:showBubbleSize val="0"/>
        </c:dLbls>
        <c:gapWidth val="79"/>
        <c:overlap val="100"/>
        <c:axId val="188626944"/>
        <c:axId val="188146816"/>
      </c:barChart>
      <c:catAx>
        <c:axId val="1886269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cap="all" spc="120" normalizeH="0" baseline="0">
                <a:solidFill>
                  <a:schemeClr val="tx1">
                    <a:lumMod val="65000"/>
                    <a:lumOff val="35000"/>
                  </a:schemeClr>
                </a:solidFill>
                <a:latin typeface="+mj-lt"/>
                <a:ea typeface="+mn-ea"/>
                <a:cs typeface="+mn-cs"/>
              </a:defRPr>
            </a:pPr>
            <a:endParaRPr lang="pl-PL"/>
          </a:p>
        </c:txPr>
        <c:crossAx val="188146816"/>
        <c:crosses val="autoZero"/>
        <c:auto val="1"/>
        <c:lblAlgn val="ctr"/>
        <c:lblOffset val="100"/>
        <c:noMultiLvlLbl val="0"/>
      </c:catAx>
      <c:valAx>
        <c:axId val="188146816"/>
        <c:scaling>
          <c:orientation val="minMax"/>
        </c:scaling>
        <c:delete val="1"/>
        <c:axPos val="l"/>
        <c:numFmt formatCode="0%" sourceLinked="1"/>
        <c:majorTickMark val="none"/>
        <c:minorTickMark val="none"/>
        <c:tickLblPos val="nextTo"/>
        <c:crossAx val="188626944"/>
        <c:crosses val="autoZero"/>
        <c:crossBetween val="between"/>
      </c:valAx>
      <c:spPr>
        <a:noFill/>
        <a:ln>
          <a:noFill/>
        </a:ln>
        <a:effectLst/>
      </c:spPr>
    </c:plotArea>
    <c:legend>
      <c:legendPos val="l"/>
      <c:layout>
        <c:manualLayout>
          <c:xMode val="edge"/>
          <c:yMode val="edge"/>
          <c:x val="9.8159496557719064E-3"/>
          <c:y val="0.11704899190084313"/>
          <c:w val="0.12194154871745323"/>
          <c:h val="0.73702351540143263"/>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j-lt"/>
              <a:ea typeface="+mn-ea"/>
              <a:cs typeface="+mn-cs"/>
            </a:defRPr>
          </a:pPr>
          <a:endParaRPr lang="pl-PL"/>
        </a:p>
      </c:txPr>
    </c:legend>
    <c:plotVisOnly val="1"/>
    <c:dispBlanksAs val="gap"/>
    <c:showDLblsOverMax val="0"/>
  </c:chart>
  <c:spPr>
    <a:solidFill>
      <a:schemeClr val="lt1"/>
    </a:solidFill>
    <a:ln w="9525" cap="flat" cmpd="sng" algn="ctr">
      <a:noFill/>
      <a:round/>
    </a:ln>
    <a:effectLst/>
  </c:spPr>
  <c:txPr>
    <a:bodyPr/>
    <a:lstStyle/>
    <a:p>
      <a:pPr>
        <a:defRPr sz="1050">
          <a:latin typeface="+mj-lt"/>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0151347359618281"/>
          <c:y val="2.5267245890093448E-2"/>
          <c:w val="0.28839431117621928"/>
          <c:h val="0.91277918125859048"/>
        </c:manualLayout>
      </c:layout>
      <c:barChart>
        <c:barDir val="bar"/>
        <c:grouping val="clustered"/>
        <c:varyColors val="0"/>
        <c:ser>
          <c:idx val="0"/>
          <c:order val="0"/>
          <c:tx>
            <c:strRef>
              <c:f>Arkusz3!$H$5</c:f>
              <c:strCache>
                <c:ptCount val="1"/>
                <c:pt idx="0">
                  <c:v>2015</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Arkusz3!$A$6:$A$18</c:f>
              <c:strCache>
                <c:ptCount val="13"/>
                <c:pt idx="0">
                  <c:v>Trudności w zdobywaniu funduszy lub sprzętu</c:v>
                </c:pt>
                <c:pt idx="1">
                  <c:v>Skomplikowane formalności (grantodawcy, UE)</c:v>
                </c:pt>
                <c:pt idx="2">
                  <c:v>Biurokracja administracji publicznej</c:v>
                </c:pt>
                <c:pt idx="3">
                  <c:v>Brak osób gotowych do zaangażowania</c:v>
                </c:pt>
                <c:pt idx="4">
                  <c:v>Trudności w utrzymaniu personelu, wolontariuszy</c:v>
                </c:pt>
                <c:pt idx="5">
                  <c:v>Znużenie, wypalenie liderów organizacji</c:v>
                </c:pt>
                <c:pt idx="6">
                  <c:v>Niejasne reguły współpracy z administracją</c:v>
                </c:pt>
                <c:pt idx="7">
                  <c:v>Niedoskonałość lub brak przepisów regulujących działania NGO</c:v>
                </c:pt>
                <c:pt idx="8">
                  <c:v>Trudności w dostępie do lokalu odpowiedniego do działalności</c:v>
                </c:pt>
                <c:pt idx="9">
                  <c:v>Konkurencja  ze strony innych organizacji</c:v>
                </c:pt>
                <c:pt idx="10">
                  <c:v>Nadmierna kontrola ze strony administracji publicznej</c:v>
                </c:pt>
                <c:pt idx="11">
                  <c:v>Brak współpracy lub konflikty w środowisku organizacji pozarządowych</c:v>
                </c:pt>
                <c:pt idx="12">
                  <c:v>Niekorzystny wizerunek NGO w oczach opinii publicznej i w mediach</c:v>
                </c:pt>
              </c:strCache>
            </c:strRef>
          </c:cat>
          <c:val>
            <c:numRef>
              <c:f>Arkusz3!$H$6:$H$18</c:f>
              <c:numCache>
                <c:formatCode>0%</c:formatCode>
                <c:ptCount val="13"/>
                <c:pt idx="0">
                  <c:v>0.65</c:v>
                </c:pt>
                <c:pt idx="1">
                  <c:v>0.6</c:v>
                </c:pt>
                <c:pt idx="2">
                  <c:v>0.56000000000000005</c:v>
                </c:pt>
                <c:pt idx="3">
                  <c:v>0.53</c:v>
                </c:pt>
                <c:pt idx="4">
                  <c:v>0.37</c:v>
                </c:pt>
                <c:pt idx="5">
                  <c:v>0.36</c:v>
                </c:pt>
                <c:pt idx="6">
                  <c:v>0.34</c:v>
                </c:pt>
                <c:pt idx="7">
                  <c:v>0.31</c:v>
                </c:pt>
                <c:pt idx="8">
                  <c:v>0.28999999999999998</c:v>
                </c:pt>
                <c:pt idx="9">
                  <c:v>0.28999999999999998</c:v>
                </c:pt>
                <c:pt idx="10">
                  <c:v>0.22</c:v>
                </c:pt>
                <c:pt idx="11">
                  <c:v>0.22</c:v>
                </c:pt>
                <c:pt idx="12">
                  <c:v>0.18</c:v>
                </c:pt>
              </c:numCache>
            </c:numRef>
          </c:val>
          <c:extLst xmlns:c16r2="http://schemas.microsoft.com/office/drawing/2015/06/chart">
            <c:ext xmlns:c16="http://schemas.microsoft.com/office/drawing/2014/chart" uri="{C3380CC4-5D6E-409C-BE32-E72D297353CC}">
              <c16:uniqueId val="{00000000-A5BD-4583-A3DA-76FA6C4D2C74}"/>
            </c:ext>
          </c:extLst>
        </c:ser>
        <c:ser>
          <c:idx val="1"/>
          <c:order val="1"/>
          <c:tx>
            <c:strRef>
              <c:f>Arkusz3!$I$5</c:f>
              <c:strCache>
                <c:ptCount val="1"/>
                <c:pt idx="0">
                  <c:v>2012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pl-PL"/>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Arkusz3!$A$6:$A$18</c:f>
              <c:strCache>
                <c:ptCount val="13"/>
                <c:pt idx="0">
                  <c:v>Trudności w zdobywaniu funduszy lub sprzętu</c:v>
                </c:pt>
                <c:pt idx="1">
                  <c:v>Skomplikowane formalności (grantodawcy, UE)</c:v>
                </c:pt>
                <c:pt idx="2">
                  <c:v>Biurokracja administracji publicznej</c:v>
                </c:pt>
                <c:pt idx="3">
                  <c:v>Brak osób gotowych do zaangażowania</c:v>
                </c:pt>
                <c:pt idx="4">
                  <c:v>Trudności w utrzymaniu personelu, wolontariuszy</c:v>
                </c:pt>
                <c:pt idx="5">
                  <c:v>Znużenie, wypalenie liderów organizacji</c:v>
                </c:pt>
                <c:pt idx="6">
                  <c:v>Niejasne reguły współpracy z administracją</c:v>
                </c:pt>
                <c:pt idx="7">
                  <c:v>Niedoskonałość lub brak przepisów regulujących działania NGO</c:v>
                </c:pt>
                <c:pt idx="8">
                  <c:v>Trudności w dostępie do lokalu odpowiedniego do działalności</c:v>
                </c:pt>
                <c:pt idx="9">
                  <c:v>Konkurencja  ze strony innych organizacji</c:v>
                </c:pt>
                <c:pt idx="10">
                  <c:v>Nadmierna kontrola ze strony administracji publicznej</c:v>
                </c:pt>
                <c:pt idx="11">
                  <c:v>Brak współpracy lub konflikty w środowisku organizacji pozarządowych</c:v>
                </c:pt>
                <c:pt idx="12">
                  <c:v>Niekorzystny wizerunek NGO w oczach opinii publicznej i w mediach</c:v>
                </c:pt>
              </c:strCache>
            </c:strRef>
          </c:cat>
          <c:val>
            <c:numRef>
              <c:f>Arkusz3!$I$6:$I$18</c:f>
              <c:numCache>
                <c:formatCode>0%</c:formatCode>
                <c:ptCount val="13"/>
                <c:pt idx="0">
                  <c:v>0.68</c:v>
                </c:pt>
                <c:pt idx="1">
                  <c:v>0.56999999999999995</c:v>
                </c:pt>
                <c:pt idx="2">
                  <c:v>0.56000000000000005</c:v>
                </c:pt>
                <c:pt idx="3">
                  <c:v>0.51</c:v>
                </c:pt>
                <c:pt idx="4">
                  <c:v>0.31</c:v>
                </c:pt>
                <c:pt idx="5">
                  <c:v>0.3</c:v>
                </c:pt>
                <c:pt idx="6">
                  <c:v>0.34</c:v>
                </c:pt>
                <c:pt idx="7">
                  <c:v>0.28000000000000003</c:v>
                </c:pt>
                <c:pt idx="9">
                  <c:v>0.22</c:v>
                </c:pt>
                <c:pt idx="10">
                  <c:v>0.17</c:v>
                </c:pt>
                <c:pt idx="11">
                  <c:v>0.17</c:v>
                </c:pt>
                <c:pt idx="12">
                  <c:v>0.15</c:v>
                </c:pt>
              </c:numCache>
            </c:numRef>
          </c:val>
          <c:extLst xmlns:c16r2="http://schemas.microsoft.com/office/drawing/2015/06/chart">
            <c:ext xmlns:c16="http://schemas.microsoft.com/office/drawing/2014/chart" uri="{C3380CC4-5D6E-409C-BE32-E72D297353CC}">
              <c16:uniqueId val="{00000001-A5BD-4583-A3DA-76FA6C4D2C74}"/>
            </c:ext>
          </c:extLst>
        </c:ser>
        <c:ser>
          <c:idx val="2"/>
          <c:order val="2"/>
          <c:tx>
            <c:strRef>
              <c:f>Arkusz3!$J$5</c:f>
              <c:strCache>
                <c:ptCount val="1"/>
                <c:pt idx="0">
                  <c:v>2010</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pl-PL"/>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Arkusz3!$A$6:$A$18</c:f>
              <c:strCache>
                <c:ptCount val="13"/>
                <c:pt idx="0">
                  <c:v>Trudności w zdobywaniu funduszy lub sprzętu</c:v>
                </c:pt>
                <c:pt idx="1">
                  <c:v>Skomplikowane formalności (grantodawcy, UE)</c:v>
                </c:pt>
                <c:pt idx="2">
                  <c:v>Biurokracja administracji publicznej</c:v>
                </c:pt>
                <c:pt idx="3">
                  <c:v>Brak osób gotowych do zaangażowania</c:v>
                </c:pt>
                <c:pt idx="4">
                  <c:v>Trudności w utrzymaniu personelu, wolontariuszy</c:v>
                </c:pt>
                <c:pt idx="5">
                  <c:v>Znużenie, wypalenie liderów organizacji</c:v>
                </c:pt>
                <c:pt idx="6">
                  <c:v>Niejasne reguły współpracy z administracją</c:v>
                </c:pt>
                <c:pt idx="7">
                  <c:v>Niedoskonałość lub brak przepisów regulujących działania NGO</c:v>
                </c:pt>
                <c:pt idx="8">
                  <c:v>Trudności w dostępie do lokalu odpowiedniego do działalności</c:v>
                </c:pt>
                <c:pt idx="9">
                  <c:v>Konkurencja  ze strony innych organizacji</c:v>
                </c:pt>
                <c:pt idx="10">
                  <c:v>Nadmierna kontrola ze strony administracji publicznej</c:v>
                </c:pt>
                <c:pt idx="11">
                  <c:v>Brak współpracy lub konflikty w środowisku organizacji pozarządowych</c:v>
                </c:pt>
                <c:pt idx="12">
                  <c:v>Niekorzystny wizerunek NGO w oczach opinii publicznej i w mediach</c:v>
                </c:pt>
              </c:strCache>
            </c:strRef>
          </c:cat>
          <c:val>
            <c:numRef>
              <c:f>Arkusz3!$J$6:$J$18</c:f>
              <c:numCache>
                <c:formatCode>0%</c:formatCode>
                <c:ptCount val="13"/>
                <c:pt idx="0">
                  <c:v>0.62</c:v>
                </c:pt>
                <c:pt idx="1">
                  <c:v>0.49</c:v>
                </c:pt>
                <c:pt idx="2">
                  <c:v>0.5</c:v>
                </c:pt>
                <c:pt idx="3">
                  <c:v>0.51</c:v>
                </c:pt>
                <c:pt idx="4">
                  <c:v>0.31</c:v>
                </c:pt>
                <c:pt idx="5">
                  <c:v>0.31</c:v>
                </c:pt>
                <c:pt idx="6">
                  <c:v>0.35</c:v>
                </c:pt>
                <c:pt idx="7">
                  <c:v>0.26</c:v>
                </c:pt>
                <c:pt idx="9">
                  <c:v>0.18</c:v>
                </c:pt>
                <c:pt idx="10">
                  <c:v>0.15</c:v>
                </c:pt>
                <c:pt idx="11">
                  <c:v>0.16</c:v>
                </c:pt>
                <c:pt idx="12">
                  <c:v>0.13</c:v>
                </c:pt>
              </c:numCache>
            </c:numRef>
          </c:val>
          <c:extLst xmlns:c16r2="http://schemas.microsoft.com/office/drawing/2015/06/chart">
            <c:ext xmlns:c16="http://schemas.microsoft.com/office/drawing/2014/chart" uri="{C3380CC4-5D6E-409C-BE32-E72D297353CC}">
              <c16:uniqueId val="{00000002-A5BD-4583-A3DA-76FA6C4D2C74}"/>
            </c:ext>
          </c:extLst>
        </c:ser>
        <c:dLbls>
          <c:showLegendKey val="0"/>
          <c:showVal val="0"/>
          <c:showCatName val="0"/>
          <c:showSerName val="0"/>
          <c:showPercent val="0"/>
          <c:showBubbleSize val="0"/>
        </c:dLbls>
        <c:gapWidth val="40"/>
        <c:axId val="161417728"/>
        <c:axId val="182202304"/>
      </c:barChart>
      <c:catAx>
        <c:axId val="16141772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crossAx val="182202304"/>
        <c:crosses val="autoZero"/>
        <c:auto val="1"/>
        <c:lblAlgn val="ctr"/>
        <c:lblOffset val="100"/>
        <c:noMultiLvlLbl val="0"/>
      </c:catAx>
      <c:valAx>
        <c:axId val="182202304"/>
        <c:scaling>
          <c:orientation val="minMax"/>
        </c:scaling>
        <c:delete val="1"/>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61417728"/>
        <c:crosses val="autoZero"/>
        <c:crossBetween val="between"/>
      </c:valAx>
      <c:spPr>
        <a:noFill/>
        <a:ln>
          <a:noFill/>
        </a:ln>
        <a:effectLst/>
      </c:spPr>
    </c:plotArea>
    <c:legend>
      <c:legendPos val="b"/>
      <c:layout>
        <c:manualLayout>
          <c:xMode val="edge"/>
          <c:yMode val="edge"/>
          <c:x val="0.50522822437892934"/>
          <c:y val="0.95434108161629494"/>
          <c:w val="0.15698528962949398"/>
          <c:h val="3.368287047951341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noFill/>
    <a:ln w="9525" cap="flat" cmpd="sng" algn="ctr">
      <a:noFill/>
      <a:round/>
    </a:ln>
    <a:effectLst/>
  </c:spPr>
  <c:txPr>
    <a:bodyPr/>
    <a:lstStyle/>
    <a:p>
      <a:pPr>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Arkusz4!$A$7:$C$7</c:f>
              <c:strCache>
                <c:ptCount val="3"/>
                <c:pt idx="0">
                  <c:v>Gorsze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Arkusz4!$D$6:$J$6</c:f>
              <c:numCache>
                <c:formatCode>General</c:formatCode>
                <c:ptCount val="7"/>
                <c:pt idx="0">
                  <c:v>2002</c:v>
                </c:pt>
                <c:pt idx="1">
                  <c:v>2004</c:v>
                </c:pt>
                <c:pt idx="2">
                  <c:v>2006</c:v>
                </c:pt>
                <c:pt idx="3">
                  <c:v>2008</c:v>
                </c:pt>
                <c:pt idx="4">
                  <c:v>2010</c:v>
                </c:pt>
                <c:pt idx="5">
                  <c:v>2012</c:v>
                </c:pt>
                <c:pt idx="6">
                  <c:v>2015</c:v>
                </c:pt>
              </c:numCache>
            </c:numRef>
          </c:cat>
          <c:val>
            <c:numRef>
              <c:f>Arkusz4!$D$7:$J$7</c:f>
              <c:numCache>
                <c:formatCode>0%</c:formatCode>
                <c:ptCount val="7"/>
                <c:pt idx="0">
                  <c:v>0.31</c:v>
                </c:pt>
                <c:pt idx="1">
                  <c:v>0.24</c:v>
                </c:pt>
                <c:pt idx="2">
                  <c:v>0.17</c:v>
                </c:pt>
                <c:pt idx="3">
                  <c:v>0.1</c:v>
                </c:pt>
                <c:pt idx="4">
                  <c:v>0.12</c:v>
                </c:pt>
                <c:pt idx="5">
                  <c:v>0.19</c:v>
                </c:pt>
                <c:pt idx="6">
                  <c:v>0.18</c:v>
                </c:pt>
              </c:numCache>
            </c:numRef>
          </c:val>
          <c:extLst xmlns:c16r2="http://schemas.microsoft.com/office/drawing/2015/06/chart">
            <c:ext xmlns:c16="http://schemas.microsoft.com/office/drawing/2014/chart" uri="{C3380CC4-5D6E-409C-BE32-E72D297353CC}">
              <c16:uniqueId val="{00000000-9110-4244-9DA5-B0D3331A0057}"/>
            </c:ext>
          </c:extLst>
        </c:ser>
        <c:ser>
          <c:idx val="1"/>
          <c:order val="1"/>
          <c:tx>
            <c:strRef>
              <c:f>Arkusz4!$A$8:$C$8</c:f>
              <c:strCache>
                <c:ptCount val="3"/>
                <c:pt idx="0">
                  <c:v>Ani lepsze ani gorsze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Arkusz4!$D$6:$J$6</c:f>
              <c:numCache>
                <c:formatCode>General</c:formatCode>
                <c:ptCount val="7"/>
                <c:pt idx="0">
                  <c:v>2002</c:v>
                </c:pt>
                <c:pt idx="1">
                  <c:v>2004</c:v>
                </c:pt>
                <c:pt idx="2">
                  <c:v>2006</c:v>
                </c:pt>
                <c:pt idx="3">
                  <c:v>2008</c:v>
                </c:pt>
                <c:pt idx="4">
                  <c:v>2010</c:v>
                </c:pt>
                <c:pt idx="5">
                  <c:v>2012</c:v>
                </c:pt>
                <c:pt idx="6">
                  <c:v>2015</c:v>
                </c:pt>
              </c:numCache>
            </c:numRef>
          </c:cat>
          <c:val>
            <c:numRef>
              <c:f>Arkusz4!$D$8:$J$8</c:f>
              <c:numCache>
                <c:formatCode>0%</c:formatCode>
                <c:ptCount val="7"/>
                <c:pt idx="0">
                  <c:v>0.42</c:v>
                </c:pt>
                <c:pt idx="1">
                  <c:v>0.43</c:v>
                </c:pt>
                <c:pt idx="2">
                  <c:v>0.51</c:v>
                </c:pt>
                <c:pt idx="3">
                  <c:v>0.54</c:v>
                </c:pt>
                <c:pt idx="4">
                  <c:v>0.51</c:v>
                </c:pt>
                <c:pt idx="5">
                  <c:v>0.51</c:v>
                </c:pt>
                <c:pt idx="6">
                  <c:v>0.5</c:v>
                </c:pt>
              </c:numCache>
            </c:numRef>
          </c:val>
          <c:extLst xmlns:c16r2="http://schemas.microsoft.com/office/drawing/2015/06/chart">
            <c:ext xmlns:c16="http://schemas.microsoft.com/office/drawing/2014/chart" uri="{C3380CC4-5D6E-409C-BE32-E72D297353CC}">
              <c16:uniqueId val="{00000001-9110-4244-9DA5-B0D3331A0057}"/>
            </c:ext>
          </c:extLst>
        </c:ser>
        <c:ser>
          <c:idx val="2"/>
          <c:order val="2"/>
          <c:tx>
            <c:strRef>
              <c:f>Arkusz4!$A$9:$C$9</c:f>
              <c:strCache>
                <c:ptCount val="3"/>
                <c:pt idx="0">
                  <c:v>Lepsze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Arkusz4!$D$6:$J$6</c:f>
              <c:numCache>
                <c:formatCode>General</c:formatCode>
                <c:ptCount val="7"/>
                <c:pt idx="0">
                  <c:v>2002</c:v>
                </c:pt>
                <c:pt idx="1">
                  <c:v>2004</c:v>
                </c:pt>
                <c:pt idx="2">
                  <c:v>2006</c:v>
                </c:pt>
                <c:pt idx="3">
                  <c:v>2008</c:v>
                </c:pt>
                <c:pt idx="4">
                  <c:v>2010</c:v>
                </c:pt>
                <c:pt idx="5">
                  <c:v>2012</c:v>
                </c:pt>
                <c:pt idx="6">
                  <c:v>2015</c:v>
                </c:pt>
              </c:numCache>
            </c:numRef>
          </c:cat>
          <c:val>
            <c:numRef>
              <c:f>Arkusz4!$D$9:$J$9</c:f>
              <c:numCache>
                <c:formatCode>0%</c:formatCode>
                <c:ptCount val="7"/>
                <c:pt idx="0">
                  <c:v>0.17</c:v>
                </c:pt>
                <c:pt idx="1">
                  <c:v>0.2</c:v>
                </c:pt>
                <c:pt idx="2">
                  <c:v>0.24</c:v>
                </c:pt>
                <c:pt idx="3">
                  <c:v>0.26</c:v>
                </c:pt>
                <c:pt idx="4">
                  <c:v>0.3</c:v>
                </c:pt>
                <c:pt idx="5">
                  <c:v>0.27</c:v>
                </c:pt>
                <c:pt idx="6">
                  <c:v>0.28999999999999998</c:v>
                </c:pt>
              </c:numCache>
            </c:numRef>
          </c:val>
          <c:extLst xmlns:c16r2="http://schemas.microsoft.com/office/drawing/2015/06/chart">
            <c:ext xmlns:c16="http://schemas.microsoft.com/office/drawing/2014/chart" uri="{C3380CC4-5D6E-409C-BE32-E72D297353CC}">
              <c16:uniqueId val="{00000002-9110-4244-9DA5-B0D3331A0057}"/>
            </c:ext>
          </c:extLst>
        </c:ser>
        <c:ser>
          <c:idx val="3"/>
          <c:order val="3"/>
          <c:tx>
            <c:strRef>
              <c:f>Arkusz4!$A$10:$C$10</c:f>
              <c:strCache>
                <c:ptCount val="3"/>
                <c:pt idx="0">
                  <c:v>Trudno powiedzieć</c:v>
                </c:pt>
              </c:strCache>
            </c:strRef>
          </c:tx>
          <c:spPr>
            <a:solidFill>
              <a:schemeClr val="accent4"/>
            </a:solidFill>
            <a:ln>
              <a:noFill/>
            </a:ln>
            <a:effectLst/>
          </c:spPr>
          <c:invertIfNegative val="0"/>
          <c:dLbls>
            <c:dLbl>
              <c:idx val="5"/>
              <c:dLblPos val="inBase"/>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110-4244-9DA5-B0D3331A0057}"/>
                </c:ext>
                <c:ext xmlns:c15="http://schemas.microsoft.com/office/drawing/2012/chart" uri="{CE6537A1-D6FC-4f65-9D91-7224C49458BB}">
                  <c15:layout/>
                </c:ext>
              </c:extLst>
            </c:dLbl>
            <c:dLbl>
              <c:idx val="6"/>
              <c:dLblPos val="inBase"/>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110-4244-9DA5-B0D3331A0057}"/>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Arkusz4!$D$6:$J$6</c:f>
              <c:numCache>
                <c:formatCode>General</c:formatCode>
                <c:ptCount val="7"/>
                <c:pt idx="0">
                  <c:v>2002</c:v>
                </c:pt>
                <c:pt idx="1">
                  <c:v>2004</c:v>
                </c:pt>
                <c:pt idx="2">
                  <c:v>2006</c:v>
                </c:pt>
                <c:pt idx="3">
                  <c:v>2008</c:v>
                </c:pt>
                <c:pt idx="4">
                  <c:v>2010</c:v>
                </c:pt>
                <c:pt idx="5">
                  <c:v>2012</c:v>
                </c:pt>
                <c:pt idx="6">
                  <c:v>2015</c:v>
                </c:pt>
              </c:numCache>
            </c:numRef>
          </c:cat>
          <c:val>
            <c:numRef>
              <c:f>Arkusz4!$D$10:$J$10</c:f>
              <c:numCache>
                <c:formatCode>0%</c:formatCode>
                <c:ptCount val="7"/>
                <c:pt idx="0">
                  <c:v>0.1</c:v>
                </c:pt>
                <c:pt idx="1">
                  <c:v>0.13</c:v>
                </c:pt>
                <c:pt idx="2">
                  <c:v>0.08</c:v>
                </c:pt>
                <c:pt idx="3">
                  <c:v>0.1</c:v>
                </c:pt>
                <c:pt idx="4">
                  <c:v>0.06</c:v>
                </c:pt>
                <c:pt idx="5">
                  <c:v>0.03</c:v>
                </c:pt>
                <c:pt idx="6">
                  <c:v>0.03</c:v>
                </c:pt>
              </c:numCache>
            </c:numRef>
          </c:val>
          <c:extLst xmlns:c16r2="http://schemas.microsoft.com/office/drawing/2015/06/chart">
            <c:ext xmlns:c16="http://schemas.microsoft.com/office/drawing/2014/chart" uri="{C3380CC4-5D6E-409C-BE32-E72D297353CC}">
              <c16:uniqueId val="{00000005-9110-4244-9DA5-B0D3331A0057}"/>
            </c:ext>
          </c:extLst>
        </c:ser>
        <c:dLbls>
          <c:showLegendKey val="0"/>
          <c:showVal val="0"/>
          <c:showCatName val="0"/>
          <c:showSerName val="0"/>
          <c:showPercent val="0"/>
          <c:showBubbleSize val="0"/>
        </c:dLbls>
        <c:gapWidth val="60"/>
        <c:overlap val="100"/>
        <c:axId val="161426944"/>
        <c:axId val="182204032"/>
      </c:barChart>
      <c:catAx>
        <c:axId val="161426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crossAx val="182204032"/>
        <c:crosses val="autoZero"/>
        <c:auto val="1"/>
        <c:lblAlgn val="ctr"/>
        <c:lblOffset val="100"/>
        <c:noMultiLvlLbl val="0"/>
      </c:catAx>
      <c:valAx>
        <c:axId val="182204032"/>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61426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latin typeface="+mj-lt"/>
        </a:defRPr>
      </a:pPr>
      <a:endParaRPr lang="pl-P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275738134717716E-2"/>
          <c:y val="6.2712160979877515E-2"/>
          <c:w val="0.47184106121244218"/>
          <c:h val="0.87249713051923561"/>
        </c:manualLayout>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2A3-4C8E-9BE2-EF550059F6EF}"/>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2A3-4C8E-9BE2-EF550059F6EF}"/>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2A3-4C8E-9BE2-EF550059F6EF}"/>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2A3-4C8E-9BE2-EF550059F6EF}"/>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A2A3-4C8E-9BE2-EF550059F6EF}"/>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A2A3-4C8E-9BE2-EF550059F6EF}"/>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A2A3-4C8E-9BE2-EF550059F6EF}"/>
              </c:ext>
            </c:extLst>
          </c:dPt>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mj-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Arkusz5!$A$4:$A$10</c:f>
              <c:strCache>
                <c:ptCount val="7"/>
                <c:pt idx="0">
                  <c:v>Brak środków na 2015 rok</c:v>
                </c:pt>
                <c:pt idx="1">
                  <c:v>Zapewnione od 1 do 24% budżetu</c:v>
                </c:pt>
                <c:pt idx="2">
                  <c:v>Zapewnione od 25 do 49% budżetu</c:v>
                </c:pt>
                <c:pt idx="3">
                  <c:v>Zapewnione od 50 do 74% budżetu</c:v>
                </c:pt>
                <c:pt idx="4">
                  <c:v>Zapewnione od 75 do 99% budżetu</c:v>
                </c:pt>
                <c:pt idx="5">
                  <c:v>Zapewnione 100% budżetu</c:v>
                </c:pt>
                <c:pt idx="6">
                  <c:v>Trudno powiedzieć</c:v>
                </c:pt>
              </c:strCache>
            </c:strRef>
          </c:cat>
          <c:val>
            <c:numRef>
              <c:f>Arkusz5!$E$4:$E$10</c:f>
              <c:numCache>
                <c:formatCode>0%</c:formatCode>
                <c:ptCount val="7"/>
                <c:pt idx="0">
                  <c:v>0.22</c:v>
                </c:pt>
                <c:pt idx="1">
                  <c:v>0.17</c:v>
                </c:pt>
                <c:pt idx="2">
                  <c:v>0.12</c:v>
                </c:pt>
                <c:pt idx="3">
                  <c:v>0.08</c:v>
                </c:pt>
                <c:pt idx="4">
                  <c:v>0.06</c:v>
                </c:pt>
                <c:pt idx="5">
                  <c:v>0.13</c:v>
                </c:pt>
                <c:pt idx="6">
                  <c:v>0.22</c:v>
                </c:pt>
              </c:numCache>
            </c:numRef>
          </c:val>
          <c:extLst xmlns:c16r2="http://schemas.microsoft.com/office/drawing/2015/06/chart">
            <c:ext xmlns:c16="http://schemas.microsoft.com/office/drawing/2014/chart" uri="{C3380CC4-5D6E-409C-BE32-E72D297353CC}">
              <c16:uniqueId val="{0000000E-A2A3-4C8E-9BE2-EF550059F6EF}"/>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59892073027806481"/>
          <c:y val="5.3896795010715405E-2"/>
          <c:w val="0.34633107638888894"/>
          <c:h val="0.8842614464858558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latin typeface="+mj-lt"/>
        </a:defRPr>
      </a:pPr>
      <a:endParaRPr lang="pl-PL"/>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Arkusz6!$D$7</c:f>
              <c:strCache>
                <c:ptCount val="1"/>
                <c:pt idx="0">
                  <c:v>Skumulowany % organizacji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Arkusz6!$A$8:$C$11</c:f>
              <c:strCache>
                <c:ptCount val="4"/>
                <c:pt idx="0">
                  <c:v>Do 10 tys. zł</c:v>
                </c:pt>
                <c:pt idx="1">
                  <c:v>Powyżej 10 tys. do 100 tys. zł</c:v>
                </c:pt>
                <c:pt idx="2">
                  <c:v>Powyżej 100 tys. do 1 mln zł</c:v>
                </c:pt>
                <c:pt idx="3">
                  <c:v>Powyżej 1 mln zł</c:v>
                </c:pt>
              </c:strCache>
            </c:strRef>
          </c:cat>
          <c:val>
            <c:numRef>
              <c:f>Arkusz6!$D$8:$D$11</c:f>
              <c:numCache>
                <c:formatCode>0.00%</c:formatCode>
                <c:ptCount val="4"/>
                <c:pt idx="0">
                  <c:v>0.42</c:v>
                </c:pt>
                <c:pt idx="1">
                  <c:v>0.79</c:v>
                </c:pt>
                <c:pt idx="2">
                  <c:v>0.96</c:v>
                </c:pt>
              </c:numCache>
            </c:numRef>
          </c:val>
          <c:extLst xmlns:c16r2="http://schemas.microsoft.com/office/drawing/2015/06/chart">
            <c:ext xmlns:c16="http://schemas.microsoft.com/office/drawing/2014/chart" uri="{C3380CC4-5D6E-409C-BE32-E72D297353CC}">
              <c16:uniqueId val="{00000000-3235-4767-BC12-10A7650D1228}"/>
            </c:ext>
          </c:extLst>
        </c:ser>
        <c:ser>
          <c:idx val="1"/>
          <c:order val="1"/>
          <c:tx>
            <c:strRef>
              <c:f>Arkusz6!$E$7</c:f>
              <c:strCache>
                <c:ptCount val="1"/>
                <c:pt idx="0">
                  <c:v>Skumulowany % przychodów</c:v>
                </c:pt>
              </c:strCache>
            </c:strRef>
          </c:tx>
          <c:spPr>
            <a:solidFill>
              <a:schemeClr val="accent2"/>
            </a:solidFill>
            <a:ln>
              <a:noFill/>
            </a:ln>
            <a:effectLst/>
          </c:spPr>
          <c:invertIfNegative val="0"/>
          <c:dLbls>
            <c:dLbl>
              <c:idx val="3"/>
              <c:dLblPos val="in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235-4767-BC12-10A7650D1228}"/>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Arkusz6!$A$8:$C$11</c:f>
              <c:strCache>
                <c:ptCount val="4"/>
                <c:pt idx="0">
                  <c:v>Do 10 tys. zł</c:v>
                </c:pt>
                <c:pt idx="1">
                  <c:v>Powyżej 10 tys. do 100 tys. zł</c:v>
                </c:pt>
                <c:pt idx="2">
                  <c:v>Powyżej 100 tys. do 1 mln zł</c:v>
                </c:pt>
                <c:pt idx="3">
                  <c:v>Powyżej 1 mln zł</c:v>
                </c:pt>
              </c:strCache>
            </c:strRef>
          </c:cat>
          <c:val>
            <c:numRef>
              <c:f>Arkusz6!$E$8:$E$11</c:f>
              <c:numCache>
                <c:formatCode>0.00%</c:formatCode>
                <c:ptCount val="4"/>
                <c:pt idx="0">
                  <c:v>0.01</c:v>
                </c:pt>
                <c:pt idx="1">
                  <c:v>0.06</c:v>
                </c:pt>
                <c:pt idx="2">
                  <c:v>0.26</c:v>
                </c:pt>
                <c:pt idx="3">
                  <c:v>1</c:v>
                </c:pt>
              </c:numCache>
            </c:numRef>
          </c:val>
          <c:extLst xmlns:c16r2="http://schemas.microsoft.com/office/drawing/2015/06/chart">
            <c:ext xmlns:c16="http://schemas.microsoft.com/office/drawing/2014/chart" uri="{C3380CC4-5D6E-409C-BE32-E72D297353CC}">
              <c16:uniqueId val="{00000002-3235-4767-BC12-10A7650D1228}"/>
            </c:ext>
          </c:extLst>
        </c:ser>
        <c:dLbls>
          <c:showLegendKey val="0"/>
          <c:showVal val="0"/>
          <c:showCatName val="0"/>
          <c:showSerName val="0"/>
          <c:showPercent val="0"/>
          <c:showBubbleSize val="0"/>
        </c:dLbls>
        <c:gapWidth val="60"/>
        <c:overlap val="100"/>
        <c:axId val="161418752"/>
        <c:axId val="182813248"/>
      </c:barChart>
      <c:catAx>
        <c:axId val="16141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j-lt"/>
                <a:ea typeface="+mn-ea"/>
                <a:cs typeface="+mn-cs"/>
              </a:defRPr>
            </a:pPr>
            <a:endParaRPr lang="pl-PL"/>
          </a:p>
        </c:txPr>
        <c:crossAx val="182813248"/>
        <c:crosses val="autoZero"/>
        <c:auto val="1"/>
        <c:lblAlgn val="ctr"/>
        <c:lblOffset val="100"/>
        <c:noMultiLvlLbl val="0"/>
      </c:catAx>
      <c:valAx>
        <c:axId val="182813248"/>
        <c:scaling>
          <c:orientation val="minMax"/>
          <c:max val="1"/>
        </c:scaling>
        <c:delete val="1"/>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crossAx val="161418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latin typeface="+mj-lt"/>
        </a:defRPr>
      </a:pPr>
      <a:endParaRPr lang="pl-PL"/>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Arkusz7!$A$6</c:f>
              <c:strCache>
                <c:ptCount val="1"/>
                <c:pt idx="0">
                  <c:v>Poniżej 1 tys. zł</c:v>
                </c:pt>
              </c:strCache>
            </c:strRef>
          </c:tx>
          <c:spPr>
            <a:solidFill>
              <a:schemeClr val="accent1"/>
            </a:solidFill>
            <a:ln>
              <a:noFill/>
            </a:ln>
            <a:effectLst/>
          </c:spPr>
          <c:invertIfNegative val="0"/>
          <c:cat>
            <c:multiLvlStrRef>
              <c:f>Arkusz7!$D$4:$M$5</c:f>
              <c:multiLvlStrCache>
                <c:ptCount val="10"/>
                <c:lvl>
                  <c:pt idx="0">
                    <c:v>2009</c:v>
                  </c:pt>
                  <c:pt idx="1">
                    <c:v>2014</c:v>
                  </c:pt>
                  <c:pt idx="2">
                    <c:v>2009</c:v>
                  </c:pt>
                  <c:pt idx="3">
                    <c:v>2014</c:v>
                  </c:pt>
                  <c:pt idx="4">
                    <c:v>2009</c:v>
                  </c:pt>
                  <c:pt idx="5">
                    <c:v>2014</c:v>
                  </c:pt>
                  <c:pt idx="6">
                    <c:v>2009</c:v>
                  </c:pt>
                  <c:pt idx="7">
                    <c:v>2014</c:v>
                  </c:pt>
                  <c:pt idx="8">
                    <c:v>2009</c:v>
                  </c:pt>
                  <c:pt idx="9">
                    <c:v>2014</c:v>
                  </c:pt>
                </c:lvl>
                <c:lvl>
                  <c:pt idx="0">
                    <c:v>Wieś</c:v>
                  </c:pt>
                  <c:pt idx="2">
                    <c:v>Miasta do 50 tys. mieszkańców</c:v>
                  </c:pt>
                  <c:pt idx="4">
                    <c:v>Miasta do 50 - 200 tys. mieszkańców</c:v>
                  </c:pt>
                  <c:pt idx="6">
                    <c:v>Miasta &gt; 200 tys. mieszkańców</c:v>
                  </c:pt>
                  <c:pt idx="8">
                    <c:v>Warszawa</c:v>
                  </c:pt>
                </c:lvl>
              </c:multiLvlStrCache>
            </c:multiLvlStrRef>
          </c:cat>
          <c:val>
            <c:numRef>
              <c:f>Arkusz7!$D$6:$M$6</c:f>
              <c:numCache>
                <c:formatCode>General</c:formatCode>
                <c:ptCount val="10"/>
                <c:pt idx="0">
                  <c:v>23</c:v>
                </c:pt>
                <c:pt idx="1">
                  <c:v>16</c:v>
                </c:pt>
                <c:pt idx="2">
                  <c:v>15</c:v>
                </c:pt>
                <c:pt idx="3">
                  <c:v>14</c:v>
                </c:pt>
                <c:pt idx="4">
                  <c:v>14</c:v>
                </c:pt>
                <c:pt idx="5">
                  <c:v>14</c:v>
                </c:pt>
                <c:pt idx="6">
                  <c:v>17</c:v>
                </c:pt>
                <c:pt idx="7">
                  <c:v>12</c:v>
                </c:pt>
                <c:pt idx="8">
                  <c:v>15</c:v>
                </c:pt>
                <c:pt idx="9">
                  <c:v>11</c:v>
                </c:pt>
              </c:numCache>
            </c:numRef>
          </c:val>
          <c:extLst xmlns:c16r2="http://schemas.microsoft.com/office/drawing/2015/06/chart">
            <c:ext xmlns:c16="http://schemas.microsoft.com/office/drawing/2014/chart" uri="{C3380CC4-5D6E-409C-BE32-E72D297353CC}">
              <c16:uniqueId val="{00000000-CA8B-462A-9EC3-47B4CED98125}"/>
            </c:ext>
          </c:extLst>
        </c:ser>
        <c:ser>
          <c:idx val="1"/>
          <c:order val="1"/>
          <c:tx>
            <c:strRef>
              <c:f>Arkusz7!$A$7</c:f>
              <c:strCache>
                <c:ptCount val="1"/>
                <c:pt idx="0">
                  <c:v>1 tys. - 10 tys. zł</c:v>
                </c:pt>
              </c:strCache>
            </c:strRef>
          </c:tx>
          <c:spPr>
            <a:solidFill>
              <a:schemeClr val="accent2"/>
            </a:solidFill>
            <a:ln>
              <a:noFill/>
            </a:ln>
            <a:effectLst/>
          </c:spPr>
          <c:invertIfNegative val="0"/>
          <c:cat>
            <c:multiLvlStrRef>
              <c:f>Arkusz7!$D$4:$M$5</c:f>
              <c:multiLvlStrCache>
                <c:ptCount val="10"/>
                <c:lvl>
                  <c:pt idx="0">
                    <c:v>2009</c:v>
                  </c:pt>
                  <c:pt idx="1">
                    <c:v>2014</c:v>
                  </c:pt>
                  <c:pt idx="2">
                    <c:v>2009</c:v>
                  </c:pt>
                  <c:pt idx="3">
                    <c:v>2014</c:v>
                  </c:pt>
                  <c:pt idx="4">
                    <c:v>2009</c:v>
                  </c:pt>
                  <c:pt idx="5">
                    <c:v>2014</c:v>
                  </c:pt>
                  <c:pt idx="6">
                    <c:v>2009</c:v>
                  </c:pt>
                  <c:pt idx="7">
                    <c:v>2014</c:v>
                  </c:pt>
                  <c:pt idx="8">
                    <c:v>2009</c:v>
                  </c:pt>
                  <c:pt idx="9">
                    <c:v>2014</c:v>
                  </c:pt>
                </c:lvl>
                <c:lvl>
                  <c:pt idx="0">
                    <c:v>Wieś</c:v>
                  </c:pt>
                  <c:pt idx="2">
                    <c:v>Miasta do 50 tys. mieszkańców</c:v>
                  </c:pt>
                  <c:pt idx="4">
                    <c:v>Miasta do 50 - 200 tys. mieszkańców</c:v>
                  </c:pt>
                  <c:pt idx="6">
                    <c:v>Miasta &gt; 200 tys. mieszkańców</c:v>
                  </c:pt>
                  <c:pt idx="8">
                    <c:v>Warszawa</c:v>
                  </c:pt>
                </c:lvl>
              </c:multiLvlStrCache>
            </c:multiLvlStrRef>
          </c:cat>
          <c:val>
            <c:numRef>
              <c:f>Arkusz7!$D$7:$M$7</c:f>
              <c:numCache>
                <c:formatCode>General</c:formatCode>
                <c:ptCount val="10"/>
                <c:pt idx="0">
                  <c:v>32</c:v>
                </c:pt>
                <c:pt idx="1">
                  <c:v>22</c:v>
                </c:pt>
                <c:pt idx="2">
                  <c:v>24</c:v>
                </c:pt>
                <c:pt idx="3">
                  <c:v>22</c:v>
                </c:pt>
                <c:pt idx="4">
                  <c:v>23</c:v>
                </c:pt>
                <c:pt idx="5">
                  <c:v>21</c:v>
                </c:pt>
                <c:pt idx="6">
                  <c:v>21.5</c:v>
                </c:pt>
                <c:pt idx="7">
                  <c:v>15</c:v>
                </c:pt>
                <c:pt idx="8">
                  <c:v>19</c:v>
                </c:pt>
                <c:pt idx="9">
                  <c:v>13</c:v>
                </c:pt>
              </c:numCache>
            </c:numRef>
          </c:val>
          <c:extLst xmlns:c16r2="http://schemas.microsoft.com/office/drawing/2015/06/chart">
            <c:ext xmlns:c16="http://schemas.microsoft.com/office/drawing/2014/chart" uri="{C3380CC4-5D6E-409C-BE32-E72D297353CC}">
              <c16:uniqueId val="{00000001-CA8B-462A-9EC3-47B4CED98125}"/>
            </c:ext>
          </c:extLst>
        </c:ser>
        <c:ser>
          <c:idx val="2"/>
          <c:order val="2"/>
          <c:tx>
            <c:strRef>
              <c:f>Arkusz7!$A$8</c:f>
              <c:strCache>
                <c:ptCount val="1"/>
                <c:pt idx="0">
                  <c:v>10 tys. - 100 tys. zł</c:v>
                </c:pt>
              </c:strCache>
            </c:strRef>
          </c:tx>
          <c:spPr>
            <a:solidFill>
              <a:schemeClr val="accent3"/>
            </a:solidFill>
            <a:ln>
              <a:noFill/>
            </a:ln>
            <a:effectLst/>
          </c:spPr>
          <c:invertIfNegative val="0"/>
          <c:cat>
            <c:multiLvlStrRef>
              <c:f>Arkusz7!$D$4:$M$5</c:f>
              <c:multiLvlStrCache>
                <c:ptCount val="10"/>
                <c:lvl>
                  <c:pt idx="0">
                    <c:v>2009</c:v>
                  </c:pt>
                  <c:pt idx="1">
                    <c:v>2014</c:v>
                  </c:pt>
                  <c:pt idx="2">
                    <c:v>2009</c:v>
                  </c:pt>
                  <c:pt idx="3">
                    <c:v>2014</c:v>
                  </c:pt>
                  <c:pt idx="4">
                    <c:v>2009</c:v>
                  </c:pt>
                  <c:pt idx="5">
                    <c:v>2014</c:v>
                  </c:pt>
                  <c:pt idx="6">
                    <c:v>2009</c:v>
                  </c:pt>
                  <c:pt idx="7">
                    <c:v>2014</c:v>
                  </c:pt>
                  <c:pt idx="8">
                    <c:v>2009</c:v>
                  </c:pt>
                  <c:pt idx="9">
                    <c:v>2014</c:v>
                  </c:pt>
                </c:lvl>
                <c:lvl>
                  <c:pt idx="0">
                    <c:v>Wieś</c:v>
                  </c:pt>
                  <c:pt idx="2">
                    <c:v>Miasta do 50 tys. mieszkańców</c:v>
                  </c:pt>
                  <c:pt idx="4">
                    <c:v>Miasta do 50 - 200 tys. mieszkańców</c:v>
                  </c:pt>
                  <c:pt idx="6">
                    <c:v>Miasta &gt; 200 tys. mieszkańców</c:v>
                  </c:pt>
                  <c:pt idx="8">
                    <c:v>Warszawa</c:v>
                  </c:pt>
                </c:lvl>
              </c:multiLvlStrCache>
            </c:multiLvlStrRef>
          </c:cat>
          <c:val>
            <c:numRef>
              <c:f>Arkusz7!$D$8:$M$8</c:f>
              <c:numCache>
                <c:formatCode>General</c:formatCode>
                <c:ptCount val="10"/>
                <c:pt idx="0">
                  <c:v>37</c:v>
                </c:pt>
                <c:pt idx="1">
                  <c:v>44.5</c:v>
                </c:pt>
                <c:pt idx="2">
                  <c:v>41</c:v>
                </c:pt>
                <c:pt idx="3">
                  <c:v>43</c:v>
                </c:pt>
                <c:pt idx="4">
                  <c:v>38.5</c:v>
                </c:pt>
                <c:pt idx="5">
                  <c:v>39.5</c:v>
                </c:pt>
                <c:pt idx="6">
                  <c:v>31</c:v>
                </c:pt>
                <c:pt idx="7">
                  <c:v>36</c:v>
                </c:pt>
                <c:pt idx="8">
                  <c:v>29</c:v>
                </c:pt>
                <c:pt idx="9">
                  <c:v>27</c:v>
                </c:pt>
              </c:numCache>
            </c:numRef>
          </c:val>
          <c:extLst xmlns:c16r2="http://schemas.microsoft.com/office/drawing/2015/06/chart">
            <c:ext xmlns:c16="http://schemas.microsoft.com/office/drawing/2014/chart" uri="{C3380CC4-5D6E-409C-BE32-E72D297353CC}">
              <c16:uniqueId val="{00000002-CA8B-462A-9EC3-47B4CED98125}"/>
            </c:ext>
          </c:extLst>
        </c:ser>
        <c:ser>
          <c:idx val="3"/>
          <c:order val="3"/>
          <c:tx>
            <c:strRef>
              <c:f>Arkusz7!$A$9</c:f>
              <c:strCache>
                <c:ptCount val="1"/>
                <c:pt idx="0">
                  <c:v>100 tys. - 1 mln zł</c:v>
                </c:pt>
              </c:strCache>
            </c:strRef>
          </c:tx>
          <c:spPr>
            <a:solidFill>
              <a:schemeClr val="accent4"/>
            </a:solidFill>
            <a:ln>
              <a:noFill/>
            </a:ln>
            <a:effectLst/>
          </c:spPr>
          <c:invertIfNegative val="0"/>
          <c:cat>
            <c:multiLvlStrRef>
              <c:f>Arkusz7!$D$4:$M$5</c:f>
              <c:multiLvlStrCache>
                <c:ptCount val="10"/>
                <c:lvl>
                  <c:pt idx="0">
                    <c:v>2009</c:v>
                  </c:pt>
                  <c:pt idx="1">
                    <c:v>2014</c:v>
                  </c:pt>
                  <c:pt idx="2">
                    <c:v>2009</c:v>
                  </c:pt>
                  <c:pt idx="3">
                    <c:v>2014</c:v>
                  </c:pt>
                  <c:pt idx="4">
                    <c:v>2009</c:v>
                  </c:pt>
                  <c:pt idx="5">
                    <c:v>2014</c:v>
                  </c:pt>
                  <c:pt idx="6">
                    <c:v>2009</c:v>
                  </c:pt>
                  <c:pt idx="7">
                    <c:v>2014</c:v>
                  </c:pt>
                  <c:pt idx="8">
                    <c:v>2009</c:v>
                  </c:pt>
                  <c:pt idx="9">
                    <c:v>2014</c:v>
                  </c:pt>
                </c:lvl>
                <c:lvl>
                  <c:pt idx="0">
                    <c:v>Wieś</c:v>
                  </c:pt>
                  <c:pt idx="2">
                    <c:v>Miasta do 50 tys. mieszkańców</c:v>
                  </c:pt>
                  <c:pt idx="4">
                    <c:v>Miasta do 50 - 200 tys. mieszkańców</c:v>
                  </c:pt>
                  <c:pt idx="6">
                    <c:v>Miasta &gt; 200 tys. mieszkańców</c:v>
                  </c:pt>
                  <c:pt idx="8">
                    <c:v>Warszawa</c:v>
                  </c:pt>
                </c:lvl>
              </c:multiLvlStrCache>
            </c:multiLvlStrRef>
          </c:cat>
          <c:val>
            <c:numRef>
              <c:f>Arkusz7!$D$9:$M$9</c:f>
              <c:numCache>
                <c:formatCode>General</c:formatCode>
                <c:ptCount val="10"/>
                <c:pt idx="0">
                  <c:v>5</c:v>
                </c:pt>
                <c:pt idx="1">
                  <c:v>13</c:v>
                </c:pt>
                <c:pt idx="2">
                  <c:v>15.5</c:v>
                </c:pt>
                <c:pt idx="3">
                  <c:v>18</c:v>
                </c:pt>
                <c:pt idx="4">
                  <c:v>18</c:v>
                </c:pt>
                <c:pt idx="5">
                  <c:v>19.5</c:v>
                </c:pt>
                <c:pt idx="6">
                  <c:v>22</c:v>
                </c:pt>
                <c:pt idx="7">
                  <c:v>26.5</c:v>
                </c:pt>
                <c:pt idx="8">
                  <c:v>24.5</c:v>
                </c:pt>
                <c:pt idx="9">
                  <c:v>31</c:v>
                </c:pt>
              </c:numCache>
            </c:numRef>
          </c:val>
          <c:extLst xmlns:c16r2="http://schemas.microsoft.com/office/drawing/2015/06/chart">
            <c:ext xmlns:c16="http://schemas.microsoft.com/office/drawing/2014/chart" uri="{C3380CC4-5D6E-409C-BE32-E72D297353CC}">
              <c16:uniqueId val="{00000003-CA8B-462A-9EC3-47B4CED98125}"/>
            </c:ext>
          </c:extLst>
        </c:ser>
        <c:ser>
          <c:idx val="4"/>
          <c:order val="4"/>
          <c:tx>
            <c:strRef>
              <c:f>Arkusz7!$A$10</c:f>
              <c:strCache>
                <c:ptCount val="1"/>
                <c:pt idx="0">
                  <c:v>Powyżej 1 mln zł</c:v>
                </c:pt>
              </c:strCache>
            </c:strRef>
          </c:tx>
          <c:spPr>
            <a:solidFill>
              <a:schemeClr val="accent5"/>
            </a:solidFill>
            <a:ln>
              <a:noFill/>
            </a:ln>
            <a:effectLst/>
          </c:spPr>
          <c:invertIfNegative val="0"/>
          <c:cat>
            <c:multiLvlStrRef>
              <c:f>Arkusz7!$D$4:$M$5</c:f>
              <c:multiLvlStrCache>
                <c:ptCount val="10"/>
                <c:lvl>
                  <c:pt idx="0">
                    <c:v>2009</c:v>
                  </c:pt>
                  <c:pt idx="1">
                    <c:v>2014</c:v>
                  </c:pt>
                  <c:pt idx="2">
                    <c:v>2009</c:v>
                  </c:pt>
                  <c:pt idx="3">
                    <c:v>2014</c:v>
                  </c:pt>
                  <c:pt idx="4">
                    <c:v>2009</c:v>
                  </c:pt>
                  <c:pt idx="5">
                    <c:v>2014</c:v>
                  </c:pt>
                  <c:pt idx="6">
                    <c:v>2009</c:v>
                  </c:pt>
                  <c:pt idx="7">
                    <c:v>2014</c:v>
                  </c:pt>
                  <c:pt idx="8">
                    <c:v>2009</c:v>
                  </c:pt>
                  <c:pt idx="9">
                    <c:v>2014</c:v>
                  </c:pt>
                </c:lvl>
                <c:lvl>
                  <c:pt idx="0">
                    <c:v>Wieś</c:v>
                  </c:pt>
                  <c:pt idx="2">
                    <c:v>Miasta do 50 tys. mieszkańców</c:v>
                  </c:pt>
                  <c:pt idx="4">
                    <c:v>Miasta do 50 - 200 tys. mieszkańców</c:v>
                  </c:pt>
                  <c:pt idx="6">
                    <c:v>Miasta &gt; 200 tys. mieszkańców</c:v>
                  </c:pt>
                  <c:pt idx="8">
                    <c:v>Warszawa</c:v>
                  </c:pt>
                </c:lvl>
              </c:multiLvlStrCache>
            </c:multiLvlStrRef>
          </c:cat>
          <c:val>
            <c:numRef>
              <c:f>Arkusz7!$D$10:$M$10</c:f>
              <c:numCache>
                <c:formatCode>General</c:formatCode>
                <c:ptCount val="10"/>
                <c:pt idx="0">
                  <c:v>1</c:v>
                </c:pt>
                <c:pt idx="1">
                  <c:v>3</c:v>
                </c:pt>
                <c:pt idx="2">
                  <c:v>2.5</c:v>
                </c:pt>
                <c:pt idx="3">
                  <c:v>3</c:v>
                </c:pt>
                <c:pt idx="4">
                  <c:v>5.5</c:v>
                </c:pt>
                <c:pt idx="5">
                  <c:v>6</c:v>
                </c:pt>
                <c:pt idx="6">
                  <c:v>8</c:v>
                </c:pt>
                <c:pt idx="7">
                  <c:v>9</c:v>
                </c:pt>
                <c:pt idx="8">
                  <c:v>11</c:v>
                </c:pt>
                <c:pt idx="9">
                  <c:v>16.5</c:v>
                </c:pt>
              </c:numCache>
            </c:numRef>
          </c:val>
          <c:extLst xmlns:c16r2="http://schemas.microsoft.com/office/drawing/2015/06/chart">
            <c:ext xmlns:c16="http://schemas.microsoft.com/office/drawing/2014/chart" uri="{C3380CC4-5D6E-409C-BE32-E72D297353CC}">
              <c16:uniqueId val="{00000004-CA8B-462A-9EC3-47B4CED98125}"/>
            </c:ext>
          </c:extLst>
        </c:ser>
        <c:dLbls>
          <c:showLegendKey val="0"/>
          <c:showVal val="0"/>
          <c:showCatName val="0"/>
          <c:showSerName val="0"/>
          <c:showPercent val="0"/>
          <c:showBubbleSize val="0"/>
        </c:dLbls>
        <c:gapWidth val="40"/>
        <c:overlap val="-27"/>
        <c:axId val="161423360"/>
        <c:axId val="182814976"/>
      </c:barChart>
      <c:catAx>
        <c:axId val="161423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j-lt"/>
                <a:ea typeface="+mn-ea"/>
                <a:cs typeface="+mn-cs"/>
              </a:defRPr>
            </a:pPr>
            <a:endParaRPr lang="pl-PL"/>
          </a:p>
        </c:txPr>
        <c:crossAx val="182814976"/>
        <c:crosses val="autoZero"/>
        <c:auto val="1"/>
        <c:lblAlgn val="ctr"/>
        <c:lblOffset val="100"/>
        <c:noMultiLvlLbl val="0"/>
      </c:catAx>
      <c:valAx>
        <c:axId val="182814976"/>
        <c:scaling>
          <c:orientation val="minMax"/>
          <c:max val="45"/>
        </c:scaling>
        <c:delete val="0"/>
        <c:axPos val="l"/>
        <c:majorGridlines>
          <c:spPr>
            <a:ln w="9525" cap="flat" cmpd="sng" algn="ctr">
              <a:solidFill>
                <a:schemeClr val="accent3">
                  <a:lumMod val="20000"/>
                  <a:lumOff val="8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crossAx val="161423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latin typeface="+mj-lt"/>
        </a:defRPr>
      </a:pPr>
      <a:endParaRPr lang="pl-PL"/>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0"/>
          <c:spPr>
            <a:solidFill>
              <a:schemeClr val="accent2"/>
            </a:solidFill>
            <a:ln w="19050">
              <a:solidFill>
                <a:schemeClr val="lt1"/>
              </a:solidFill>
            </a:ln>
            <a:effectLst/>
          </c:spPr>
          <c:invertIfNegative val="0"/>
          <c:cat>
            <c:strRef>
              <c:f>Arkusz8!$A$12:$A$16</c:f>
              <c:strCache>
                <c:ptCount val="5"/>
                <c:pt idx="0">
                  <c:v>Etaty</c:v>
                </c:pt>
                <c:pt idx="1">
                  <c:v>Przychody</c:v>
                </c:pt>
                <c:pt idx="2">
                  <c:v>Członkowie</c:v>
                </c:pt>
                <c:pt idx="3">
                  <c:v>Wolontariusze</c:v>
                </c:pt>
                <c:pt idx="4">
                  <c:v>Grupa największych organizacji w danej kategorii </c:v>
                </c:pt>
              </c:strCache>
            </c:strRef>
          </c:cat>
          <c:val>
            <c:numRef>
              <c:f>Arkusz8!$C$12:$C$16</c:f>
              <c:numCache>
                <c:formatCode>0%</c:formatCode>
                <c:ptCount val="5"/>
                <c:pt idx="0">
                  <c:v>0.1</c:v>
                </c:pt>
                <c:pt idx="1">
                  <c:v>0.1</c:v>
                </c:pt>
                <c:pt idx="2">
                  <c:v>0.1</c:v>
                </c:pt>
                <c:pt idx="3">
                  <c:v>0.1</c:v>
                </c:pt>
              </c:numCache>
            </c:numRef>
          </c:val>
          <c:extLst xmlns:c16r2="http://schemas.microsoft.com/office/drawing/2015/06/chart">
            <c:ext xmlns:c16="http://schemas.microsoft.com/office/drawing/2014/chart" uri="{C3380CC4-5D6E-409C-BE32-E72D297353CC}">
              <c16:uniqueId val="{00000000-DBE5-4C60-BCF8-C5B7FCE7B04C}"/>
            </c:ext>
          </c:extLst>
        </c:ser>
        <c:ser>
          <c:idx val="0"/>
          <c:order val="1"/>
          <c:spPr>
            <a:solidFill>
              <a:schemeClr val="accent6"/>
            </a:solidFill>
            <a:ln w="19050">
              <a:solidFill>
                <a:schemeClr val="lt1"/>
              </a:solidFill>
            </a:ln>
            <a:effectLst/>
          </c:spPr>
          <c:invertIfNegative val="0"/>
          <c:dPt>
            <c:idx val="1"/>
            <c:invertIfNegative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2-DBE5-4C60-BCF8-C5B7FCE7B04C}"/>
              </c:ext>
            </c:extLst>
          </c:dPt>
          <c:dPt>
            <c:idx val="2"/>
            <c:invertIfNegative val="0"/>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4-DBE5-4C60-BCF8-C5B7FCE7B04C}"/>
              </c:ext>
            </c:extLst>
          </c:dPt>
          <c:dPt>
            <c:idx val="3"/>
            <c:invertIfNegative val="0"/>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6-DBE5-4C60-BCF8-C5B7FCE7B04C}"/>
              </c:ext>
            </c:extLst>
          </c:dPt>
          <c:dPt>
            <c:idx val="4"/>
            <c:invertIfNegative val="0"/>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8-DBE5-4C60-BCF8-C5B7FCE7B04C}"/>
              </c:ext>
            </c:extLst>
          </c:dPt>
          <c:dLbls>
            <c:dLbl>
              <c:idx val="4"/>
              <c:tx>
                <c:rich>
                  <a:bodyPr/>
                  <a:lstStyle/>
                  <a:p>
                    <a:fld id="{DFADFB0E-42B3-4FB6-97B2-82B664F26F33}" type="VALUE">
                      <a:rPr lang="en-US"/>
                      <a:pPr/>
                      <a:t>[WARTOŚĆ]</a:t>
                    </a:fld>
                    <a:endParaRPr lang="pl-PL"/>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DBE5-4C60-BCF8-C5B7FCE7B04C}"/>
                </c:ex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pl-PL"/>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Arkusz8!$A$12:$A$16</c:f>
              <c:strCache>
                <c:ptCount val="5"/>
                <c:pt idx="0">
                  <c:v>Etaty</c:v>
                </c:pt>
                <c:pt idx="1">
                  <c:v>Przychody</c:v>
                </c:pt>
                <c:pt idx="2">
                  <c:v>Członkowie</c:v>
                </c:pt>
                <c:pt idx="3">
                  <c:v>Wolontariusze</c:v>
                </c:pt>
                <c:pt idx="4">
                  <c:v>Grupa największych organizacji w danej kategorii </c:v>
                </c:pt>
              </c:strCache>
            </c:strRef>
          </c:cat>
          <c:val>
            <c:numRef>
              <c:f>Arkusz8!$B$12:$B$16</c:f>
              <c:numCache>
                <c:formatCode>0%</c:formatCode>
                <c:ptCount val="5"/>
                <c:pt idx="0">
                  <c:v>0.95</c:v>
                </c:pt>
                <c:pt idx="1">
                  <c:v>0.86</c:v>
                </c:pt>
                <c:pt idx="2">
                  <c:v>0.79</c:v>
                </c:pt>
                <c:pt idx="3">
                  <c:v>0.59</c:v>
                </c:pt>
                <c:pt idx="4">
                  <c:v>0.1</c:v>
                </c:pt>
              </c:numCache>
            </c:numRef>
          </c:val>
          <c:extLst xmlns:c16r2="http://schemas.microsoft.com/office/drawing/2015/06/chart">
            <c:ext xmlns:c16="http://schemas.microsoft.com/office/drawing/2014/chart" uri="{C3380CC4-5D6E-409C-BE32-E72D297353CC}">
              <c16:uniqueId val="{0000000A-DBE5-4C60-BCF8-C5B7FCE7B04C}"/>
            </c:ext>
          </c:extLst>
        </c:ser>
        <c:dLbls>
          <c:showLegendKey val="0"/>
          <c:showVal val="0"/>
          <c:showCatName val="0"/>
          <c:showSerName val="0"/>
          <c:showPercent val="0"/>
          <c:showBubbleSize val="0"/>
        </c:dLbls>
        <c:gapWidth val="60"/>
        <c:overlap val="100"/>
        <c:axId val="161423872"/>
        <c:axId val="182816704"/>
      </c:barChart>
      <c:catAx>
        <c:axId val="16142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crossAx val="182816704"/>
        <c:crosses val="autoZero"/>
        <c:auto val="1"/>
        <c:lblAlgn val="ctr"/>
        <c:lblOffset val="100"/>
        <c:noMultiLvlLbl val="0"/>
      </c:catAx>
      <c:valAx>
        <c:axId val="182816704"/>
        <c:scaling>
          <c:orientation val="minMax"/>
        </c:scaling>
        <c:delete val="1"/>
        <c:axPos val="l"/>
        <c:majorGridlines>
          <c:spPr>
            <a:ln w="9525" cap="flat" cmpd="sng" algn="ctr">
              <a:noFill/>
              <a:round/>
            </a:ln>
            <a:effectLst/>
          </c:spPr>
        </c:majorGridlines>
        <c:numFmt formatCode="0%" sourceLinked="1"/>
        <c:majorTickMark val="none"/>
        <c:minorTickMark val="none"/>
        <c:tickLblPos val="nextTo"/>
        <c:crossAx val="161423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j-lt"/>
        </a:defRPr>
      </a:pPr>
      <a:endParaRPr lang="pl-PL"/>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Arkusz9!$E$5</c:f>
              <c:strCache>
                <c:ptCount val="1"/>
                <c:pt idx="0">
                  <c:v>2010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Arkusz9!$D$6:$D$11</c:f>
              <c:strCache>
                <c:ptCount val="6"/>
                <c:pt idx="0">
                  <c:v>Przychody o charakterze rynkowym</c:v>
                </c:pt>
                <c:pt idx="1">
                  <c:v>Przychpdy o charakterze nierynkowym w tym:</c:v>
                </c:pt>
                <c:pt idx="2">
                  <c:v>ze źródeł publicznych</c:v>
                </c:pt>
                <c:pt idx="3">
                  <c:v>ze źródeł prywatnych</c:v>
                </c:pt>
                <c:pt idx="4">
                  <c:v>Składki członkowskie</c:v>
                </c:pt>
                <c:pt idx="5">
                  <c:v>Inne</c:v>
                </c:pt>
              </c:strCache>
            </c:strRef>
          </c:cat>
          <c:val>
            <c:numRef>
              <c:f>Arkusz9!$E$6:$E$11</c:f>
              <c:numCache>
                <c:formatCode>0%</c:formatCode>
                <c:ptCount val="6"/>
                <c:pt idx="0">
                  <c:v>0.39</c:v>
                </c:pt>
                <c:pt idx="1">
                  <c:v>0.53</c:v>
                </c:pt>
                <c:pt idx="2">
                  <c:v>0.41</c:v>
                </c:pt>
                <c:pt idx="3">
                  <c:v>0.13</c:v>
                </c:pt>
                <c:pt idx="4">
                  <c:v>0.05</c:v>
                </c:pt>
                <c:pt idx="5">
                  <c:v>0.03</c:v>
                </c:pt>
              </c:numCache>
            </c:numRef>
          </c:val>
          <c:extLst xmlns:c16r2="http://schemas.microsoft.com/office/drawing/2015/06/chart">
            <c:ext xmlns:c16="http://schemas.microsoft.com/office/drawing/2014/chart" uri="{C3380CC4-5D6E-409C-BE32-E72D297353CC}">
              <c16:uniqueId val="{00000000-2CFA-447D-ACCB-8A0E85C39A83}"/>
            </c:ext>
          </c:extLst>
        </c:ser>
        <c:ser>
          <c:idx val="1"/>
          <c:order val="1"/>
          <c:tx>
            <c:strRef>
              <c:f>Arkusz9!$F$5</c:f>
              <c:strCache>
                <c:ptCount val="1"/>
                <c:pt idx="0">
                  <c:v>2012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Arkusz9!$D$6:$D$11</c:f>
              <c:strCache>
                <c:ptCount val="6"/>
                <c:pt idx="0">
                  <c:v>Przychody o charakterze rynkowym</c:v>
                </c:pt>
                <c:pt idx="1">
                  <c:v>Przychpdy o charakterze nierynkowym w tym:</c:v>
                </c:pt>
                <c:pt idx="2">
                  <c:v>ze źródeł publicznych</c:v>
                </c:pt>
                <c:pt idx="3">
                  <c:v>ze źródeł prywatnych</c:v>
                </c:pt>
                <c:pt idx="4">
                  <c:v>Składki członkowskie</c:v>
                </c:pt>
                <c:pt idx="5">
                  <c:v>Inne</c:v>
                </c:pt>
              </c:strCache>
            </c:strRef>
          </c:cat>
          <c:val>
            <c:numRef>
              <c:f>Arkusz9!$F$6:$F$11</c:f>
              <c:numCache>
                <c:formatCode>0%</c:formatCode>
                <c:ptCount val="6"/>
                <c:pt idx="0">
                  <c:v>0.38</c:v>
                </c:pt>
                <c:pt idx="1">
                  <c:v>0.56000000000000005</c:v>
                </c:pt>
                <c:pt idx="2">
                  <c:v>0.44</c:v>
                </c:pt>
                <c:pt idx="3">
                  <c:v>0.14000000000000001</c:v>
                </c:pt>
                <c:pt idx="4">
                  <c:v>0.05</c:v>
                </c:pt>
                <c:pt idx="5">
                  <c:v>0.01</c:v>
                </c:pt>
              </c:numCache>
            </c:numRef>
          </c:val>
          <c:extLst xmlns:c16r2="http://schemas.microsoft.com/office/drawing/2015/06/chart">
            <c:ext xmlns:c16="http://schemas.microsoft.com/office/drawing/2014/chart" uri="{C3380CC4-5D6E-409C-BE32-E72D297353CC}">
              <c16:uniqueId val="{00000001-2CFA-447D-ACCB-8A0E85C39A83}"/>
            </c:ext>
          </c:extLst>
        </c:ser>
        <c:ser>
          <c:idx val="2"/>
          <c:order val="2"/>
          <c:tx>
            <c:strRef>
              <c:f>Arkusz9!$G$5</c:f>
              <c:strCache>
                <c:ptCount val="1"/>
                <c:pt idx="0">
                  <c:v>2014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j-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Arkusz9!$D$6:$D$11</c:f>
              <c:strCache>
                <c:ptCount val="6"/>
                <c:pt idx="0">
                  <c:v>Przychody o charakterze rynkowym</c:v>
                </c:pt>
                <c:pt idx="1">
                  <c:v>Przychpdy o charakterze nierynkowym w tym:</c:v>
                </c:pt>
                <c:pt idx="2">
                  <c:v>ze źródeł publicznych</c:v>
                </c:pt>
                <c:pt idx="3">
                  <c:v>ze źródeł prywatnych</c:v>
                </c:pt>
                <c:pt idx="4">
                  <c:v>Składki członkowskie</c:v>
                </c:pt>
                <c:pt idx="5">
                  <c:v>Inne</c:v>
                </c:pt>
              </c:strCache>
            </c:strRef>
          </c:cat>
          <c:val>
            <c:numRef>
              <c:f>Arkusz9!$G$6:$G$11</c:f>
              <c:numCache>
                <c:formatCode>0%</c:formatCode>
                <c:ptCount val="6"/>
                <c:pt idx="0">
                  <c:v>0.35</c:v>
                </c:pt>
                <c:pt idx="1">
                  <c:v>0.59</c:v>
                </c:pt>
                <c:pt idx="2">
                  <c:v>0.46</c:v>
                </c:pt>
                <c:pt idx="3">
                  <c:v>0.13</c:v>
                </c:pt>
                <c:pt idx="4">
                  <c:v>0.04</c:v>
                </c:pt>
                <c:pt idx="5">
                  <c:v>0.02</c:v>
                </c:pt>
              </c:numCache>
            </c:numRef>
          </c:val>
          <c:extLst xmlns:c16r2="http://schemas.microsoft.com/office/drawing/2015/06/chart">
            <c:ext xmlns:c16="http://schemas.microsoft.com/office/drawing/2014/chart" uri="{C3380CC4-5D6E-409C-BE32-E72D297353CC}">
              <c16:uniqueId val="{00000002-2CFA-447D-ACCB-8A0E85C39A83}"/>
            </c:ext>
          </c:extLst>
        </c:ser>
        <c:dLbls>
          <c:showLegendKey val="0"/>
          <c:showVal val="0"/>
          <c:showCatName val="0"/>
          <c:showSerName val="0"/>
          <c:showPercent val="0"/>
          <c:showBubbleSize val="0"/>
        </c:dLbls>
        <c:gapWidth val="40"/>
        <c:axId val="161424384"/>
        <c:axId val="182818432"/>
      </c:barChart>
      <c:catAx>
        <c:axId val="1614243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crossAx val="182818432"/>
        <c:crosses val="autoZero"/>
        <c:auto val="1"/>
        <c:lblAlgn val="ctr"/>
        <c:lblOffset val="100"/>
        <c:noMultiLvlLbl val="0"/>
      </c:catAx>
      <c:valAx>
        <c:axId val="182818432"/>
        <c:scaling>
          <c:orientation val="minMax"/>
          <c:max val="0.60000000000000009"/>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crossAx val="161424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latin typeface="+mj-lt"/>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3201B-FD0D-44C0-A0F3-31267CBDB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16969</Words>
  <Characters>101817</Characters>
  <Application>Microsoft Office Word</Application>
  <DocSecurity>0</DocSecurity>
  <Lines>848</Lines>
  <Paragraphs>237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Werpachowski</dc:creator>
  <cp:lastModifiedBy>Jan M. Grabowski</cp:lastModifiedBy>
  <cp:revision>2</cp:revision>
  <cp:lastPrinted>2018-06-13T07:25:00Z</cp:lastPrinted>
  <dcterms:created xsi:type="dcterms:W3CDTF">2018-07-05T07:11:00Z</dcterms:created>
  <dcterms:modified xsi:type="dcterms:W3CDTF">2018-07-05T07:11:00Z</dcterms:modified>
</cp:coreProperties>
</file>