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3A" w:rsidRDefault="00511E3A" w:rsidP="00511E3A">
      <w:pPr>
        <w:spacing w:before="240" w:after="240" w:line="276" w:lineRule="auto"/>
        <w:jc w:val="righ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KONCEPCJA  PROJEKTU MPZP</w:t>
      </w:r>
    </w:p>
    <w:p w:rsidR="00511E3A" w:rsidRDefault="00511E3A" w:rsidP="00511E3A">
      <w:pPr>
        <w:spacing w:before="240" w:after="240" w:line="276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Miejscowy plan zagospodarowania przestrzennego dla fragmentu Centrum miasta Malborka </w:t>
      </w:r>
    </w:p>
    <w:p w:rsidR="00511E3A" w:rsidRDefault="00511E3A" w:rsidP="00511E3A">
      <w:pPr>
        <w:spacing w:before="240" w:after="240" w:line="276" w:lineRule="auto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UWAGA - plan będzie stanowił zmianę dotychczasowego MPZP  z  2002 r., uchwalonego Uchwałą Nr 398/XLIX/02 Rady Miasta Malborka z dnia 25 lipca 2002r.  – Dz. Urz. Woj. Pom. 2003.18.184 z dnia 2003.02.04, gdyż  zgodnie z art. 34 ust 1 ustawy  z dnia 27 marca 2003r. o planowaniu i zagospodarowaniu przestrzennym  (</w:t>
      </w:r>
      <w:proofErr w:type="spellStart"/>
      <w:r>
        <w:rPr>
          <w:rFonts w:ascii="Times New Roman" w:hAnsi="Times New Roman"/>
          <w:b/>
          <w:bCs/>
          <w:szCs w:val="22"/>
        </w:rPr>
        <w:t>t.j</w:t>
      </w:r>
      <w:proofErr w:type="spellEnd"/>
      <w:r>
        <w:rPr>
          <w:rFonts w:ascii="Times New Roman" w:hAnsi="Times New Roman"/>
          <w:b/>
          <w:bCs/>
          <w:szCs w:val="22"/>
        </w:rPr>
        <w:t>. Dz.U. z 2018r poz. 1945 ze zm.)  zastąpi ten plan w swoich granicach</w:t>
      </w:r>
    </w:p>
    <w:p w:rsidR="00511E3A" w:rsidRDefault="00511E3A" w:rsidP="00511E3A">
      <w:pPr>
        <w:spacing w:before="0" w:after="0" w:line="240" w:lineRule="auto"/>
        <w:jc w:val="left"/>
        <w:rPr>
          <w:rFonts w:ascii="Times New Roman" w:hAnsi="Times New Roman"/>
          <w:bCs/>
          <w:i/>
          <w:szCs w:val="22"/>
        </w:rPr>
      </w:pPr>
      <w:r>
        <w:rPr>
          <w:rFonts w:ascii="Times New Roman" w:hAnsi="Times New Roman"/>
          <w:bCs/>
          <w:i/>
          <w:szCs w:val="22"/>
        </w:rPr>
        <w:t xml:space="preserve">Art.  34.  [Skutki wejścia w życie planu miejscowego] </w:t>
      </w:r>
    </w:p>
    <w:p w:rsidR="00511E3A" w:rsidRDefault="00511E3A" w:rsidP="00511E3A">
      <w:pPr>
        <w:spacing w:before="0" w:after="0" w:line="240" w:lineRule="auto"/>
        <w:jc w:val="left"/>
        <w:rPr>
          <w:rFonts w:ascii="Times New Roman" w:hAnsi="Times New Roman"/>
          <w:bCs/>
          <w:i/>
          <w:szCs w:val="22"/>
        </w:rPr>
      </w:pPr>
      <w:r>
        <w:rPr>
          <w:rFonts w:ascii="Times New Roman" w:hAnsi="Times New Roman"/>
          <w:bCs/>
          <w:i/>
          <w:szCs w:val="22"/>
        </w:rPr>
        <w:t xml:space="preserve">1.  Wejście w życie planu miejscowego </w:t>
      </w:r>
      <w:r>
        <w:rPr>
          <w:rFonts w:ascii="Times New Roman" w:hAnsi="Times New Roman"/>
          <w:b/>
          <w:bCs/>
          <w:i/>
          <w:szCs w:val="22"/>
        </w:rPr>
        <w:t>powoduje utratę mocy obowiązującej</w:t>
      </w:r>
      <w:r>
        <w:rPr>
          <w:rFonts w:ascii="Times New Roman" w:hAnsi="Times New Roman"/>
          <w:bCs/>
          <w:i/>
          <w:szCs w:val="22"/>
        </w:rPr>
        <w:t xml:space="preserve"> innych planów zagospodarowania przestrzennego lub </w:t>
      </w:r>
      <w:r>
        <w:rPr>
          <w:rFonts w:ascii="Times New Roman" w:hAnsi="Times New Roman"/>
          <w:b/>
          <w:bCs/>
          <w:i/>
          <w:szCs w:val="22"/>
        </w:rPr>
        <w:t>ich części odnoszących się do objętego nim terenu</w:t>
      </w:r>
      <w:r>
        <w:rPr>
          <w:rFonts w:ascii="Times New Roman" w:hAnsi="Times New Roman"/>
          <w:bCs/>
          <w:i/>
          <w:szCs w:val="22"/>
        </w:rPr>
        <w:t>.</w:t>
      </w:r>
    </w:p>
    <w:p w:rsidR="00511E3A" w:rsidRDefault="00511E3A" w:rsidP="00511E3A">
      <w:pPr>
        <w:spacing w:before="240" w:after="24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Wg „Studium…” obszar objęty opracowaniem to fragment Centrum miasta Malborka – fragment Śródmieścia miasta wskazany jako  tzw. </w:t>
      </w:r>
      <w:r>
        <w:rPr>
          <w:rFonts w:ascii="Times New Roman" w:hAnsi="Times New Roman"/>
          <w:b/>
          <w:bCs/>
          <w:szCs w:val="22"/>
        </w:rPr>
        <w:t>obszar do rewaloryzacji.</w:t>
      </w:r>
      <w:r>
        <w:rPr>
          <w:rFonts w:ascii="Times New Roman" w:hAnsi="Times New Roman"/>
          <w:bCs/>
          <w:szCs w:val="22"/>
        </w:rPr>
        <w:t xml:space="preserve">  W Studium miasta Malborka pod pojęciem  rewaloryzacji rozumie się zmiany funkcjonalne, likwidację lub przebudowę obiektów dysharmonizujących otoczenie, ogólne podniesienie wartości przestrzennych. </w:t>
      </w:r>
    </w:p>
    <w:p w:rsidR="00511E3A" w:rsidRDefault="00511E3A" w:rsidP="00511E3A">
      <w:pPr>
        <w:spacing w:before="240" w:after="24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Obszar opracowania położony jest w całości w strefie ochrony konserwatorskiej ekspozycji i otoczenia  dla zespołu zamku Krzyżackiego wpisanego na Listę UNESCO Światowego Dziedzictwa Kulturalnego i Naturalnego w 1997r  ( uznanego za Pomnik Historii zarządzeniem Prezydenta RP z 8 września 1994 r (Monitor Polski 1994 nr 50, poz. 420), wpisanego do rejestru zabytków województwa pomorskiego decyzją nr 23 (dawn. nr 29/N) z dnia 20.09.1949 r. jako zespół zabudowań zamkowych. Dodatkowo obszar położony jest w sąsiedztwie obszaru prawnie chronionego poprzez wpis do rejestru zabytków decyzją nr 115 (dawn. 83) z dnia 17.07.1959 r. jako obszar zamku i miasta Malbork, również objętego strefą ochrony konserwatorskiej.  </w:t>
      </w:r>
    </w:p>
    <w:p w:rsidR="00511E3A" w:rsidRDefault="00511E3A" w:rsidP="00511E3A">
      <w:pPr>
        <w:spacing w:before="240" w:after="240" w:line="276" w:lineRule="auto"/>
      </w:pPr>
      <w:r w:rsidRPr="00511E3A">
        <w:rPr>
          <w:rFonts w:ascii="Times New Roman" w:hAnsi="Times New Roman"/>
          <w:bCs/>
          <w:szCs w:val="22"/>
        </w:rPr>
        <w:t>Obszar opracowania w całości objęty jest strefą ochrony archeologicznej: prowadzenie prac ziemnych na obszarze występowania zabytków archeologicznych może wymagać przeprowadzenia niezbędnych badań archeologicznych na zasadach uregulowanych obowiązującymi przepisami odrębnymi z zakresu ochrony zabytków i opieki nad zabytkami; obiekty zabytkowe odkryte podczas badań archeologicznych, stanowiące znaczące wartości dla dziedzictwa kulturowego należy chronić i wyeksponować.</w:t>
      </w:r>
      <w:r>
        <w:t xml:space="preserve"> </w:t>
      </w:r>
    </w:p>
    <w:p w:rsidR="00511E3A" w:rsidRDefault="00511E3A" w:rsidP="00511E3A">
      <w:pPr>
        <w:spacing w:before="240" w:after="24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W granicach strefy ochrony konserwatorskiej obszaru ujętego w Gminnej ewidencji zabytków – (układ urbanistyczny północnego Śródmieścia miasta Malborka) oraz dla obiektów – budynków ujętych w Gminnej Ewidencji Zabytków pozwolenia na roboty budowlane w obiektach regulowane są zgodnie z przepisami odrębnymi dotyczącymi ochrony zabytków i opieki nad zabytkami. </w:t>
      </w:r>
    </w:p>
    <w:p w:rsidR="00511E3A" w:rsidRDefault="00511E3A" w:rsidP="00511E3A">
      <w:pPr>
        <w:spacing w:before="240" w:after="24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W całym obszarze opracowania obowiązuje nakaz włączenia do sieci wodociągowych oraz kanalizacji sanitarnych.  Postuluje się  retencję i wykorzystanie wód opadowych i roztopowych z dachów oraz terenów zabudowanych w granicach własnych działek  w celu ich późniejszego wykorzystania (np. do pielęgnacji zieleni) ze względu na potrzeby  zmniejszenia ilości wód odprowadzanych do systemów kanalizacyjnych.</w:t>
      </w:r>
    </w:p>
    <w:p w:rsidR="00511E3A" w:rsidRDefault="00511E3A" w:rsidP="00511E3A">
      <w:pPr>
        <w:spacing w:before="0" w:after="200" w:line="276" w:lineRule="auto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br w:type="page"/>
      </w:r>
    </w:p>
    <w:p w:rsidR="00511E3A" w:rsidRDefault="00511E3A" w:rsidP="00511E3A">
      <w:pPr>
        <w:spacing w:before="240" w:after="240" w:line="276" w:lineRule="auto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lastRenderedPageBreak/>
        <w:t>Słowniczek stosowanych w tekście pojęć :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dysharmonijny obiekt lub obszar – obiekt lub obszar pozostający w konflikcie estetycznym lub przestrzennym z (historyczną) kompozycją przestrzenną lub z (historyczną) kompozycją zespołu zabudowy;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intensywność zabudowy – intensywność w rozumieniu przepisów ustawy o planowaniu i zagospodarowaniu przestrzennym określona w art. 15 ust 2 pkt 6 -  „maksymalna i minimalna intensywność zabudowy jako wskaźnik powierzchni całkowitej zabudowy w odniesieniu do powierzchni działki budowlanej”;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maksymalna powierzchnia zabudowy  – należy przez to rozumieć sumę powierzchni budynków po ich obrysie zewnętrznym w stosunku do powierzchni działki, wyrażoną w [%];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miejsce parkingowe  - rozumie się przez to teren przeznaczony dla postawienia samochodu, przy czym miejscem parkingowym jest także miejsce w garażu;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miejsce parkingowe dla pojazdów zaopatrzonych w kartę parkingową - miejsce parkingowe spełniające wszystkie wymogi przepisów odrębnych dotyczących miejsca parkingowego dla osób niepełnosprawnych, zlokalizowane na poziomie terenu lub w budynku na kondygnacjach dostępnych dla osób niepełnosprawnych;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modernizacja – należy przez to rozumieć roboty budowlane powodujące ulepszenie istniejących budynków lub innych obiektów budowalnych, powiększające jego wartość, nie będące przebudową, rozbudową lub rekonstrukcją;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nieprzekraczalna linia zabudowy – należy przez to rozumieć linie zabudowy podstawowej bryły budynków; linia ta nie dotyczy podziemnych części obiektów budowlanych, a także takich elementów jak wykusze, loggie, gzymsy, okapy, zadaszenia nad wejściami do budynków, elementy odwodnienia, elementy wystroju elewacji, schody prowadzące do budynków, pochylnie dla niepełnosprawnych i innych podobnych elementów budynków; linie nieprzekraczalne nie dotyczą też obiektów małej architektury, miejsc do czasowego gromadzenia odpadów stałych (zadaszonych osłon), obiektów i urządzeń infrastruktury technicznej;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obowiązująca linia zabudowy – należy przez to rozumieć linię wyznaczającą usytuowanie elewacji frontowej budynku, przy czym regulacjom tym nie podlegają wykusze, zadaszenia wejściowe, podesty, schody i okapy; obowiązująca linia zabudowy dotyczy minimum 70% długości  elewacji;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oś widokowa – wytyczony kierunek obserwacji przez rozplanowanie i kompozycję zagospodarowania terenu;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pierzeja – należy przez to rozumieć frontową ścianę zabudowy wzdłuż ulicy;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powierzchnia biologicznie czynna – powierzchnia terenu biologicznie czynnego – powierzchnia gruntu (np. na działce budowlanej) pokrytego roślinnością wraz z powierzchnią wód powierzchniowych; zgodnie z  wymaganiami określonymi w przepisach warunków techniczno-budowlanych jakim powinny odpowiadać budynki i ich usytuowanie (tj.  „teren o nawierzchni urządzonej w sposób zapewniający naturalną wegetację roślin i retencję wód opadowych, a także 50% powierzchni tarasów i stropodachów z taką nawierzchnią oraz innych powierzchni zapewniających naturalną wegetację roślin, o powierzchni nie mniejszej niż 10 m2, oraz wodę powierzchniową na tym terenie”);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przepisy odrębne – należy przez to rozumieć obowiązujące przepisy ustaw wraz z aktami wykonawczymi oraz akty prawa miejscowego;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proofErr w:type="spellStart"/>
      <w:r>
        <w:rPr>
          <w:rFonts w:ascii="Times New Roman" w:hAnsi="Times New Roman"/>
          <w:bCs/>
          <w:szCs w:val="22"/>
        </w:rPr>
        <w:t>rekompozycja</w:t>
      </w:r>
      <w:proofErr w:type="spellEnd"/>
      <w:r>
        <w:rPr>
          <w:rFonts w:ascii="Times New Roman" w:hAnsi="Times New Roman"/>
          <w:bCs/>
          <w:szCs w:val="22"/>
        </w:rPr>
        <w:t xml:space="preserve"> – należy przez to rozumieć działania polegające na przekształceniu istniejącego obiektu, zespołu obiektu, lub terenu/ obszaru w celu poprawy standardu technicznego i/lub </w:t>
      </w:r>
      <w:r>
        <w:rPr>
          <w:rFonts w:ascii="Times New Roman" w:hAnsi="Times New Roman"/>
          <w:bCs/>
          <w:szCs w:val="22"/>
        </w:rPr>
        <w:lastRenderedPageBreak/>
        <w:t xml:space="preserve">estetycznego  np. przez wyburzenie lub przebudowę elementów, dokomponowanie  nowych elementów, tworzące nową  formę kompozycyjną; 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proofErr w:type="spellStart"/>
      <w:r>
        <w:rPr>
          <w:rFonts w:ascii="Times New Roman" w:hAnsi="Times New Roman"/>
          <w:bCs/>
          <w:szCs w:val="22"/>
        </w:rPr>
        <w:t>restylizacja</w:t>
      </w:r>
      <w:proofErr w:type="spellEnd"/>
      <w:r>
        <w:rPr>
          <w:rFonts w:ascii="Times New Roman" w:hAnsi="Times New Roman"/>
          <w:bCs/>
          <w:szCs w:val="22"/>
        </w:rPr>
        <w:t xml:space="preserve"> – należy przez to rozumieć działania mające na celu przekształcenie, przebudowę obiektu w celu przywrócenia mu cech i formy opartej o przekazy ikonograficzne, nawiązujące do historycznej formy sprzed współczesnych przebudów, z dopuszczeniem zastosowania współczesnych form i materiałów;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rewaloryzacja – należy przez to rozumieć działania polegające na wydobyciu, przywróceniu i uczytelnieniu walorów użytkowych i estetycznych, z uwzględnieniem ich wartości kulturowych, historycznych obiektu lub układu przestrzennego;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rewitalizacja obiektów zabytkowych – należy przez to rozumieć  takie działania jak konserwacja (zachowanie lub odtworzenie wystroju elewacji, stolarki, kształtu dachu), estetyzacja tzn. likwidacja elementów i urządzeń dysharmonizujących wystrój elewacji budynku zabytkowego, w szczególności tych, które przesłaniają detal architektoniczny, otwory elewacyjne i nie są dopasowane do charakteru i stylu budynku, </w:t>
      </w:r>
      <w:proofErr w:type="spellStart"/>
      <w:r>
        <w:rPr>
          <w:rFonts w:ascii="Times New Roman" w:hAnsi="Times New Roman"/>
          <w:bCs/>
          <w:szCs w:val="22"/>
        </w:rPr>
        <w:t>restylizację</w:t>
      </w:r>
      <w:proofErr w:type="spellEnd"/>
      <w:r>
        <w:rPr>
          <w:rFonts w:ascii="Times New Roman" w:hAnsi="Times New Roman"/>
          <w:bCs/>
          <w:szCs w:val="22"/>
        </w:rPr>
        <w:t xml:space="preserve"> kolorystyki i wystroju elewacji, w tym stolarki na podstawie źródeł ikonograficznych lub badań stratygraficznych, </w:t>
      </w:r>
      <w:proofErr w:type="spellStart"/>
      <w:r>
        <w:rPr>
          <w:rFonts w:ascii="Times New Roman" w:hAnsi="Times New Roman"/>
          <w:bCs/>
          <w:szCs w:val="22"/>
        </w:rPr>
        <w:t>restylizację</w:t>
      </w:r>
      <w:proofErr w:type="spellEnd"/>
      <w:r>
        <w:rPr>
          <w:rFonts w:ascii="Times New Roman" w:hAnsi="Times New Roman"/>
          <w:bCs/>
          <w:szCs w:val="22"/>
        </w:rPr>
        <w:t xml:space="preserve"> markiz, szyldów i innych wtórnych elementów zastosowanych na elewacji;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strefa ochrony konserwatorskiej – wyznaczony granicami obszar, na którym obowiązują określone ograniczenia, zakazy i nakazy, mające na celu ochronę znajdujących się na tym obszarze zabytków. Strefy ochrony konserwatorskiej definiowane są przez swoje cechy (zawartość i wyróżniki) oraz cele, dla których zostały wyznaczone;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studium – rozumie się przez to dokument określający politykę przestrzenna miasta- studium uwarunkowań i kierunków zagospodarowania przestrzennego miasta Malborka;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zabudowa śródmiejska –należy rozumieć ją zgodnie z przepisami warunków techniczno-budowlanych jakim powinny odpowiadać budynki i ich usytuowanie  tj. „zgrupowanie intensywnej zabudowy na obszarze śródmieścia, określonej w miejscowym planie zagospodarowania przestrzennego, a w przypadku braku planu miejscowego- w studium uwarunkowań i kierunków zagospodarowania przestrzennego gminy”;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wysokość zabudowy – dla budynków wysokość zgodna z przepisami warunków techniczno-budowlanych jakim powinny odpowiadać budynki i ich usytuowanie, dla pozostałych obiektów budowlanych wysokość do najwyżej położonego punktu obiektu liczona od poziomu terenu przy obiekcie; </w:t>
      </w:r>
    </w:p>
    <w:p w:rsidR="00511E3A" w:rsidRDefault="00511E3A" w:rsidP="00511E3A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zieleń izolacyjno-krajobrazowa – należy rozumieć przez to pas zwartej, wielowarstwowej roślinności, złożonej z gatunków odpornych na zanieczyszczenia powietrza, oddzielającej (także wizualnie, krajobrazowo) obiekty i tereny potencjalnie uciążliwe od terenów i funkcji chronionych, zwłaszcza mieszkaniowych;</w:t>
      </w:r>
    </w:p>
    <w:p w:rsidR="00511E3A" w:rsidRDefault="00511E3A" w:rsidP="00511E3A">
      <w:pPr>
        <w:spacing w:before="0" w:after="200" w:line="276" w:lineRule="auto"/>
        <w:jc w:val="lef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br w:type="page"/>
      </w:r>
    </w:p>
    <w:p w:rsidR="00511E3A" w:rsidRDefault="00511E3A" w:rsidP="00511E3A">
      <w:pPr>
        <w:spacing w:after="0" w:line="276" w:lineRule="auto"/>
        <w:rPr>
          <w:rFonts w:ascii="Times New Roman" w:hAnsi="Times New Roman"/>
          <w:bCs/>
          <w:szCs w:val="22"/>
        </w:rPr>
      </w:pPr>
    </w:p>
    <w:p w:rsidR="00511E3A" w:rsidRDefault="00511E3A" w:rsidP="00511E3A">
      <w:pPr>
        <w:spacing w:before="240" w:after="240" w:line="276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Ustalenia szczegółowe dla wydzielonych liniami rozgraniczenia terenów</w:t>
      </w: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1:</w:t>
      </w:r>
    </w:p>
    <w:p w:rsidR="00511E3A" w:rsidRDefault="00511E3A" w:rsidP="00511E3A">
      <w:pPr>
        <w:numPr>
          <w:ilvl w:val="0"/>
          <w:numId w:val="3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 :  </w:t>
      </w:r>
      <w:r>
        <w:rPr>
          <w:rFonts w:ascii="Times New Roman" w:hAnsi="Times New Roman"/>
          <w:b/>
          <w:sz w:val="24"/>
        </w:rPr>
        <w:t>1.MW,U</w:t>
      </w:r>
      <w:r>
        <w:rPr>
          <w:rFonts w:ascii="Times New Roman" w:hAnsi="Times New Roman"/>
          <w:szCs w:val="22"/>
        </w:rPr>
        <w:t xml:space="preserve"> o pow. ok. 0,1063ha;</w:t>
      </w:r>
    </w:p>
    <w:p w:rsidR="00511E3A" w:rsidRDefault="00511E3A" w:rsidP="00511E3A">
      <w:pPr>
        <w:numPr>
          <w:ilvl w:val="0"/>
          <w:numId w:val="3"/>
        </w:numPr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MW,U – tereny zabudowy mieszkaniowej wielorodzinnej, tereny zabudowy usługowej:</w:t>
      </w:r>
    </w:p>
    <w:p w:rsidR="00511E3A" w:rsidRDefault="00511E3A" w:rsidP="00511E3A">
      <w:pPr>
        <w:numPr>
          <w:ilvl w:val="0"/>
          <w:numId w:val="4"/>
        </w:numPr>
        <w:tabs>
          <w:tab w:val="num" w:pos="1134"/>
        </w:tabs>
        <w:spacing w:before="60" w:after="60" w:line="276" w:lineRule="auto"/>
        <w:ind w:left="1134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mieszkaniowe wielorodzinne, mieszkaniowo – usługowe, usługowe, 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jc w:val="left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budynki towarzyszące np. garaże oraz wiaty, altany,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</w:rPr>
        <w:t>urządzenia towarzyszące, zieleń towarzysząca, dojścia, dojazdy, drogi wewnętrzne, wyposażenie terenu,  miejsca parkingowe i infrastruktura techniczna, urządzenia i obiekty związane z retencją wód opadowych,</w:t>
      </w:r>
    </w:p>
    <w:p w:rsidR="00511E3A" w:rsidRDefault="00511E3A" w:rsidP="00511E3A">
      <w:pPr>
        <w:numPr>
          <w:ilvl w:val="0"/>
          <w:numId w:val="4"/>
        </w:numPr>
        <w:tabs>
          <w:tab w:val="num" w:pos="1134"/>
        </w:tabs>
        <w:spacing w:before="60" w:after="60" w:line="276" w:lineRule="auto"/>
        <w:ind w:hanging="114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technicznej;</w:t>
      </w:r>
    </w:p>
    <w:p w:rsidR="00511E3A" w:rsidRDefault="00511E3A" w:rsidP="00511E3A">
      <w:pPr>
        <w:numPr>
          <w:ilvl w:val="0"/>
          <w:numId w:val="3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7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obowiązująca linia zabudowy zgodnie z rysunkiem koncepcji planu – zał. nr 1 do niniejszego opracowania, 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powierzchnia zabudowy działki –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40%, </w:t>
      </w:r>
      <w:r w:rsidR="005F0E11">
        <w:rPr>
          <w:rFonts w:ascii="Times New Roman" w:eastAsia="Calibri" w:hAnsi="Times New Roman"/>
          <w:bCs/>
          <w:szCs w:val="22"/>
          <w:lang w:eastAsia="en-US"/>
        </w:rPr>
        <w:t>współczynnik ten nie dotyczy  działek dla zabudowy garażowej -</w:t>
      </w:r>
      <w:r>
        <w:rPr>
          <w:rFonts w:ascii="Times New Roman" w:eastAsia="Calibri" w:hAnsi="Times New Roman"/>
          <w:bCs/>
          <w:szCs w:val="22"/>
          <w:lang w:eastAsia="en-US"/>
        </w:rPr>
        <w:t>z uwagi</w:t>
      </w:r>
      <w:r w:rsidR="005F0E11">
        <w:rPr>
          <w:rFonts w:ascii="Times New Roman" w:eastAsia="Calibri" w:hAnsi="Times New Roman"/>
          <w:bCs/>
          <w:szCs w:val="22"/>
          <w:lang w:eastAsia="en-US"/>
        </w:rPr>
        <w:t xml:space="preserve"> na istniejące zagospodarowanie dopuszcza się 100%</w:t>
      </w:r>
      <w:r>
        <w:rPr>
          <w:rFonts w:ascii="Times New Roman" w:eastAsia="Calibri" w:hAnsi="Times New Roman"/>
          <w:bCs/>
          <w:szCs w:val="22"/>
          <w:lang w:eastAsia="en-US"/>
        </w:rPr>
        <w:t>,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minimalny procent powierzchni terenów biologicznie czynnych w stosunku do powierzchni działki – 35%, </w:t>
      </w:r>
      <w:r w:rsidR="005F0E11" w:rsidRPr="005F0E11">
        <w:rPr>
          <w:rFonts w:ascii="Times New Roman" w:eastAsia="Calibri" w:hAnsi="Times New Roman"/>
          <w:bCs/>
          <w:szCs w:val="22"/>
          <w:lang w:eastAsia="en-US"/>
        </w:rPr>
        <w:t xml:space="preserve"> </w:t>
      </w:r>
      <w:r w:rsidR="005F0E11">
        <w:rPr>
          <w:rFonts w:ascii="Times New Roman" w:eastAsia="Calibri" w:hAnsi="Times New Roman"/>
          <w:bCs/>
          <w:szCs w:val="22"/>
          <w:lang w:eastAsia="en-US"/>
        </w:rPr>
        <w:t>współczynnik ten nie dotyczy  działek dla zabudowy garażowej - z uwagi na istniejące zagospodarowanie dopuszcza się 0%,</w:t>
      </w:r>
    </w:p>
    <w:p w:rsidR="00511E3A" w:rsidRDefault="0017697C" w:rsidP="00511E3A">
      <w:pPr>
        <w:numPr>
          <w:ilvl w:val="0"/>
          <w:numId w:val="7"/>
        </w:numPr>
        <w:spacing w:before="0" w:after="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 xml:space="preserve">intensywność zabudowy –1,6 (dla kondygnacji nadziemnych 1,2), </w:t>
      </w:r>
      <w:r w:rsidR="005F0E11">
        <w:rPr>
          <w:rFonts w:ascii="Times New Roman" w:hAnsi="Times New Roman"/>
          <w:szCs w:val="22"/>
        </w:rPr>
        <w:t>współczynnik nie dotyczy działek dla zabudowy garażowej – ze względu na istniejące zagospodarowanie dopuszcza się maksymalną intensywność 1,0,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lokalizację budynków w odległości 1,5 m od granicy działki lub bezpośrednio przy tej granicy,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budynki główne lokalizować od frontu działki, budynki i obiekty towarzyszące w głębi działki,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obsługa komunikacyjna od strony ul. Mazurów (znajdującej się poza granicami opracowania planu miejscowego),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 przewiduje się nowych podziałów geodezyjnych na działki budowlane,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numPr>
          <w:ilvl w:val="0"/>
          <w:numId w:val="7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 ustala się wymaganej minimalnej ilości miejsc postojowych (ze względu na istniejące zainwestowanie oraz położenie w strefie zabudowy śródmiejskiej);</w:t>
      </w:r>
    </w:p>
    <w:p w:rsidR="00511E3A" w:rsidRDefault="00511E3A" w:rsidP="00511E3A">
      <w:pPr>
        <w:numPr>
          <w:ilvl w:val="0"/>
          <w:numId w:val="3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dla dopuszczonych budynków głównych: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wysokość 11m – </w:t>
      </w:r>
      <w:r w:rsidR="005F0E11">
        <w:rPr>
          <w:rFonts w:ascii="Times New Roman" w:hAnsi="Times New Roman"/>
          <w:szCs w:val="22"/>
        </w:rPr>
        <w:t>do 3 kondygnacji</w:t>
      </w:r>
      <w:r>
        <w:rPr>
          <w:rFonts w:ascii="Times New Roman" w:hAnsi="Times New Roman"/>
          <w:szCs w:val="22"/>
        </w:rPr>
        <w:t xml:space="preserve"> nadziemn</w:t>
      </w:r>
      <w:r w:rsidR="005F0E11">
        <w:rPr>
          <w:rFonts w:ascii="Times New Roman" w:hAnsi="Times New Roman"/>
          <w:szCs w:val="22"/>
        </w:rPr>
        <w:t>ych</w:t>
      </w:r>
      <w:r>
        <w:rPr>
          <w:rFonts w:ascii="Times New Roman" w:hAnsi="Times New Roman"/>
          <w:szCs w:val="22"/>
        </w:rPr>
        <w:t xml:space="preserve"> (2 kondygnacje + poddasze użytkowe),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głównych połaci dachy dwuspadowe, pokryte dachówką ceramiczną w odcieniach czerwieni o kącie pochylenia połaci dachowej w przedziale 30-45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budynków towarzyszących, altan, wiat 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wysokość 6 m,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głównych połaci dachy płaskie, jednospadowe oraz dwuspadowe, o kącie pochylenia połaci dachowej do 20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zakresie wykończenia budynków ustala się tynki w odcieniach bieli, beżu, </w:t>
      </w:r>
      <w:proofErr w:type="spellStart"/>
      <w:r>
        <w:rPr>
          <w:rFonts w:ascii="Times New Roman" w:hAnsi="Times New Roman"/>
          <w:szCs w:val="22"/>
        </w:rPr>
        <w:t>ecru</w:t>
      </w:r>
      <w:proofErr w:type="spellEnd"/>
      <w:r>
        <w:rPr>
          <w:rFonts w:ascii="Times New Roman" w:hAnsi="Times New Roman"/>
          <w:szCs w:val="22"/>
        </w:rPr>
        <w:t>, dopuszcza się elewacje z wykorzystaniem innych materiałów w tym cegły, drewna, szkła itp., z wykluczeniem blachy falistej, trapezowej,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rozbudowy, nadbudowy i przebudowy budynków istniejących w dniu uchwalenia planu,</w:t>
      </w:r>
    </w:p>
    <w:p w:rsidR="00511E3A" w:rsidRP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teren położony w granicach strefy ochrony konserwatorskiej stanowisk archeologicznych.</w:t>
      </w:r>
    </w:p>
    <w:p w:rsidR="00511E3A" w:rsidRDefault="00511E3A" w:rsidP="00511E3A">
      <w:pPr>
        <w:spacing w:before="60" w:after="60" w:line="276" w:lineRule="auto"/>
        <w:ind w:left="1418"/>
        <w:rPr>
          <w:rFonts w:ascii="Times New Roman" w:hAnsi="Times New Roman"/>
          <w:szCs w:val="22"/>
        </w:rPr>
      </w:pP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2:</w:t>
      </w:r>
    </w:p>
    <w:p w:rsidR="00511E3A" w:rsidRDefault="00511E3A" w:rsidP="00511E3A">
      <w:pPr>
        <w:numPr>
          <w:ilvl w:val="0"/>
          <w:numId w:val="10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powierzchnia:  </w:t>
      </w:r>
      <w:r>
        <w:rPr>
          <w:rFonts w:ascii="Times New Roman" w:hAnsi="Times New Roman"/>
          <w:b/>
          <w:sz w:val="24"/>
        </w:rPr>
        <w:t>2.MW,U</w:t>
      </w:r>
      <w:r>
        <w:rPr>
          <w:rFonts w:ascii="Times New Roman" w:hAnsi="Times New Roman"/>
          <w:szCs w:val="22"/>
        </w:rPr>
        <w:t xml:space="preserve"> o pow. ok. 0,1467ha;</w:t>
      </w:r>
    </w:p>
    <w:p w:rsidR="00511E3A" w:rsidRDefault="00511E3A" w:rsidP="00511E3A">
      <w:pPr>
        <w:numPr>
          <w:ilvl w:val="0"/>
          <w:numId w:val="10"/>
        </w:numPr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MW,U – tereny zabudowy mieszkaniowej wielorodzinnej, tereny zabudowy usługowej:</w:t>
      </w:r>
    </w:p>
    <w:p w:rsidR="00511E3A" w:rsidRDefault="00511E3A" w:rsidP="00511E3A">
      <w:pPr>
        <w:numPr>
          <w:ilvl w:val="0"/>
          <w:numId w:val="11"/>
        </w:numPr>
        <w:tabs>
          <w:tab w:val="num" w:pos="1134"/>
        </w:tabs>
        <w:spacing w:before="60" w:after="60" w:line="276" w:lineRule="auto"/>
        <w:ind w:left="1134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mieszkaniowe wielorodzinne, mieszkaniowo – usługowe, usługowe, nie określa się wymaganej proporcji pomiędzy funkcjami, 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jc w:val="left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budynki towarzyszące a także altany, wiaty,</w:t>
      </w:r>
    </w:p>
    <w:p w:rsidR="00511E3A" w:rsidRDefault="00511E3A" w:rsidP="00511E3A">
      <w:pPr>
        <w:pStyle w:val="Akapitzlist"/>
        <w:numPr>
          <w:ilvl w:val="0"/>
          <w:numId w:val="5"/>
        </w:numPr>
        <w:ind w:left="1134" w:firstLine="0"/>
        <w:rPr>
          <w:rFonts w:ascii="Times New Roman" w:hAnsi="Times New Roman"/>
        </w:rPr>
      </w:pPr>
      <w:r>
        <w:rPr>
          <w:rFonts w:ascii="Times New Roman" w:hAnsi="Times New Roman"/>
        </w:rPr>
        <w:t>urządzenia towarzyszące, zieleń towarzysząca, dojścia, dojazdy, drogi wewnętrzne, wyposażenie terenu, miejsca parkingowe i infrastruktura techniczna,</w:t>
      </w:r>
      <w:r>
        <w:t xml:space="preserve"> </w:t>
      </w:r>
      <w:r>
        <w:rPr>
          <w:rFonts w:ascii="Times New Roman" w:hAnsi="Times New Roman"/>
        </w:rPr>
        <w:t>urządzenia i obiekty związane z retencją wód opadowych,</w:t>
      </w:r>
    </w:p>
    <w:p w:rsidR="00511E3A" w:rsidRDefault="00511E3A" w:rsidP="00511E3A">
      <w:pPr>
        <w:numPr>
          <w:ilvl w:val="0"/>
          <w:numId w:val="11"/>
        </w:numPr>
        <w:tabs>
          <w:tab w:val="num" w:pos="1134"/>
        </w:tabs>
        <w:spacing w:before="60" w:after="60" w:line="276" w:lineRule="auto"/>
        <w:ind w:hanging="114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technicznej;</w:t>
      </w:r>
    </w:p>
    <w:p w:rsidR="00511E3A" w:rsidRDefault="00511E3A" w:rsidP="00511E3A">
      <w:pPr>
        <w:numPr>
          <w:ilvl w:val="0"/>
          <w:numId w:val="10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12"/>
        </w:numPr>
        <w:tabs>
          <w:tab w:val="clear" w:pos="360"/>
          <w:tab w:val="num" w:pos="1418"/>
        </w:tabs>
        <w:spacing w:before="0" w:after="0" w:line="276" w:lineRule="auto"/>
        <w:ind w:left="1418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nieprzekraczalna linia zabudowy zgodnie z rysunkiem koncepcji planu – zał. nr 1 do niniejszego opracowania, </w:t>
      </w:r>
    </w:p>
    <w:p w:rsidR="00511E3A" w:rsidRDefault="00511E3A" w:rsidP="00511E3A">
      <w:pPr>
        <w:numPr>
          <w:ilvl w:val="0"/>
          <w:numId w:val="12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powierzchnia zabudowy działki –30%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</w:t>
      </w:r>
    </w:p>
    <w:p w:rsidR="00511E3A" w:rsidRDefault="00511E3A" w:rsidP="00511E3A">
      <w:pPr>
        <w:numPr>
          <w:ilvl w:val="0"/>
          <w:numId w:val="12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minimalny procent powierzchni terenów biologicznie czynnych w stosunku do powierzchni działki – 35%, </w:t>
      </w:r>
    </w:p>
    <w:p w:rsidR="00511E3A" w:rsidRDefault="0017697C" w:rsidP="00511E3A">
      <w:pPr>
        <w:numPr>
          <w:ilvl w:val="0"/>
          <w:numId w:val="12"/>
        </w:numPr>
        <w:spacing w:before="0" w:after="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>intensywność zabudowy –1,2 (dla kondygnacji nadziemnych 0,9),</w:t>
      </w:r>
    </w:p>
    <w:p w:rsidR="00511E3A" w:rsidRDefault="00511E3A" w:rsidP="00511E3A">
      <w:pPr>
        <w:numPr>
          <w:ilvl w:val="0"/>
          <w:numId w:val="12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obsługa komunikacyjna z drogi wewnętrznej o symbolu 9.KDW,</w:t>
      </w:r>
    </w:p>
    <w:p w:rsidR="00511E3A" w:rsidRDefault="00511E3A" w:rsidP="00511E3A">
      <w:pPr>
        <w:numPr>
          <w:ilvl w:val="0"/>
          <w:numId w:val="12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 przewiduje się nowych podziałów geodezyjnych na działki budowlane,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numPr>
          <w:ilvl w:val="0"/>
          <w:numId w:val="12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ustala się wskaźniki miejsc parkingowych: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minimum 1,3 miejsca parkingowego/mieszkanie,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</w:rPr>
        <w:t>minimum 1 miejsce parkingowe na 30m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powierzchni użytkowej usług oraz minimum 1 miejsce parkingowe na 4 zatrudnionych, przy czym należy zapewnić</w:t>
      </w:r>
      <w:r>
        <w:rPr>
          <w:rFonts w:ascii="Times New Roman" w:hAnsi="Times New Roman"/>
        </w:rPr>
        <w:t xml:space="preserve"> minimum 1 miejsce parkingowe  na każdą usługę wbudowaną w budynkach mieszkalnych,</w:t>
      </w:r>
    </w:p>
    <w:p w:rsidR="00511E3A" w:rsidRDefault="00511E3A" w:rsidP="00511E3A">
      <w:pPr>
        <w:numPr>
          <w:ilvl w:val="0"/>
          <w:numId w:val="12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należy przewidzieć miejsca postojowe przeznaczone na parkowanie pojazdów zaopatrzonych w kartę parkingową w liczbie: minimum 1 stanowisko,</w:t>
      </w:r>
    </w:p>
    <w:p w:rsidR="00511E3A" w:rsidRDefault="00511E3A" w:rsidP="00511E3A">
      <w:pPr>
        <w:numPr>
          <w:ilvl w:val="0"/>
          <w:numId w:val="10"/>
        </w:numPr>
        <w:spacing w:before="60" w:after="60" w:line="276" w:lineRule="auto"/>
        <w:ind w:left="900" w:hanging="5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dopuszczonych budynków głównych: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wysokość 11m – </w:t>
      </w:r>
      <w:r w:rsidR="005F0E11">
        <w:rPr>
          <w:rFonts w:ascii="Times New Roman" w:hAnsi="Times New Roman"/>
          <w:szCs w:val="22"/>
        </w:rPr>
        <w:t xml:space="preserve"> do 3 kondygnacji</w:t>
      </w:r>
      <w:r>
        <w:rPr>
          <w:rFonts w:ascii="Times New Roman" w:hAnsi="Times New Roman"/>
          <w:szCs w:val="22"/>
        </w:rPr>
        <w:t xml:space="preserve"> nadziemn</w:t>
      </w:r>
      <w:r w:rsidR="005F0E11">
        <w:rPr>
          <w:rFonts w:ascii="Times New Roman" w:hAnsi="Times New Roman"/>
          <w:szCs w:val="22"/>
        </w:rPr>
        <w:t>ych</w:t>
      </w:r>
      <w:r>
        <w:rPr>
          <w:rFonts w:ascii="Times New Roman" w:hAnsi="Times New Roman"/>
          <w:szCs w:val="22"/>
        </w:rPr>
        <w:t xml:space="preserve"> (2 kondygnacje + poddasze użytkowe),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głównych połaci dachy dwuspadowe, pokryte dachówką ceramiczną w odcieniach czerwieni o kącie pochylenia połaci dachowej w przedziale 30-45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budynków towarzyszących, altan, wiat: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wysokość 4 m,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głównych połaci dachy płaskie, jednospadowe oraz dwuspadowe, o kącie pochylenia połaci dachowej do 20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zakresie wykończenia budynków ustala się tynki w odcieniach bieli, beżu, szarości, </w:t>
      </w:r>
      <w:proofErr w:type="spellStart"/>
      <w:r>
        <w:rPr>
          <w:rFonts w:ascii="Times New Roman" w:hAnsi="Times New Roman"/>
          <w:szCs w:val="22"/>
        </w:rPr>
        <w:t>ecru</w:t>
      </w:r>
      <w:proofErr w:type="spellEnd"/>
      <w:r>
        <w:rPr>
          <w:rFonts w:ascii="Times New Roman" w:hAnsi="Times New Roman"/>
          <w:szCs w:val="22"/>
        </w:rPr>
        <w:t>, dopuszcza się elewacje z wykorzystaniem innych materiałów w tym cegły, drewna, szkła itp., z wykluczeniem blachy falistej, trapezowej,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rozbudowy, nadbudowy i przebudowy budynków wg ustaleń jak dla nowej zabudowy,</w:t>
      </w:r>
    </w:p>
    <w:p w:rsidR="00511E3A" w:rsidRP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teren położony w granicach strefy ochrony konserwatorskiej stanowisk archeologicznych.</w:t>
      </w: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3:</w:t>
      </w:r>
    </w:p>
    <w:p w:rsidR="00511E3A" w:rsidRDefault="00511E3A" w:rsidP="00511E3A">
      <w:pPr>
        <w:numPr>
          <w:ilvl w:val="0"/>
          <w:numId w:val="14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 :  </w:t>
      </w:r>
      <w:r>
        <w:rPr>
          <w:rFonts w:ascii="Times New Roman" w:hAnsi="Times New Roman"/>
          <w:b/>
          <w:sz w:val="24"/>
        </w:rPr>
        <w:t>3.MW,U</w:t>
      </w:r>
      <w:r>
        <w:rPr>
          <w:rFonts w:ascii="Times New Roman" w:hAnsi="Times New Roman"/>
          <w:szCs w:val="22"/>
        </w:rPr>
        <w:t xml:space="preserve"> o pow. ok. 0,2548ha;</w:t>
      </w:r>
    </w:p>
    <w:p w:rsidR="00511E3A" w:rsidRDefault="00511E3A" w:rsidP="00511E3A">
      <w:pPr>
        <w:numPr>
          <w:ilvl w:val="0"/>
          <w:numId w:val="14"/>
        </w:numPr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MW,U – tereny zabudowy mieszkaniowej wielorodzinnej, tereny zabudowy usługowej:</w:t>
      </w:r>
    </w:p>
    <w:p w:rsidR="00511E3A" w:rsidRDefault="00511E3A" w:rsidP="00511E3A">
      <w:pPr>
        <w:numPr>
          <w:ilvl w:val="0"/>
          <w:numId w:val="15"/>
        </w:numPr>
        <w:spacing w:before="60" w:after="60" w:line="276" w:lineRule="auto"/>
        <w:ind w:left="1134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mieszkaniowe wielorodzinne, mieszkaniowo – usługowe, usługowe, usługi mogą zajmować nie więcej jak 30% powierzchni całkowitej; budynki powinny nawiązywać formą i gabarytami do zabudowy typu willa miejska, analogicznymi do istniejącej zabudowy usytuowanej po południowej stronie ulicy Mazurów, 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jc w:val="left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lastRenderedPageBreak/>
        <w:t xml:space="preserve">budynki towarzyszące, wiaty, altany, </w:t>
      </w:r>
    </w:p>
    <w:p w:rsidR="00511E3A" w:rsidRDefault="00511E3A" w:rsidP="00511E3A">
      <w:pPr>
        <w:pStyle w:val="Akapitzlist"/>
        <w:numPr>
          <w:ilvl w:val="0"/>
          <w:numId w:val="5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urządzenia towarzyszące, zieleń towarzysząca, dojścia, dojazdy, drogi wewnętrzne, wyposażenie terenu, wiaty, miejsca parkingowe i infrastruktura techniczna,</w:t>
      </w:r>
      <w:r>
        <w:t xml:space="preserve"> </w:t>
      </w:r>
      <w:r>
        <w:rPr>
          <w:rFonts w:ascii="Times New Roman" w:hAnsi="Times New Roman"/>
        </w:rPr>
        <w:t>urządzenia i obiekty związane z retencją wód opadowych,</w:t>
      </w:r>
    </w:p>
    <w:p w:rsidR="00511E3A" w:rsidRDefault="00511E3A" w:rsidP="00511E3A">
      <w:pPr>
        <w:numPr>
          <w:ilvl w:val="0"/>
          <w:numId w:val="15"/>
        </w:numPr>
        <w:tabs>
          <w:tab w:val="num" w:pos="1134"/>
        </w:tabs>
        <w:spacing w:before="60" w:after="60" w:line="276" w:lineRule="auto"/>
        <w:ind w:hanging="114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technicznej;</w:t>
      </w:r>
    </w:p>
    <w:p w:rsidR="00511E3A" w:rsidRDefault="00511E3A" w:rsidP="00511E3A">
      <w:pPr>
        <w:numPr>
          <w:ilvl w:val="0"/>
          <w:numId w:val="14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16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obowiązująca linia zabudowy zgodnie z rysunkiem koncepcji planu – zał. nr 1 do niniejszego opracowania, 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powierzchnia zabudowy działki –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25%,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minimalny procent powierzchni terenów biologicznie czynnych w stosunku do powierzchni działki – 40%, </w:t>
      </w:r>
    </w:p>
    <w:p w:rsidR="00511E3A" w:rsidRDefault="0017697C" w:rsidP="00511E3A">
      <w:pPr>
        <w:numPr>
          <w:ilvl w:val="0"/>
          <w:numId w:val="16"/>
        </w:numPr>
        <w:spacing w:before="0" w:after="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>intensywność zabudowy –1 (dla kondygnacji nadziemnych 0,75),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obsługa komunikacyjna z drogi wewnętrznej o symbolu 9.KDW (zjazd z ul Parkowej poprzez  nową drogę  usytuowana w terenach pozyskanych od PKP), nie dopuszcza się dojazdów z ul. Mazurów, 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budynki głównie należy lokalizować od strony ul. Mazurów, budynki towarzyszące w głębi działki,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budynki główne należy lokalizować kalenicą główną równolegle do obowiązującej linii zabudowy wyznaczonej od strony ul. Mazurów,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lokalizację budynków o maksymalnej szerokości elewacji frontowej każdego budynku – 15m,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podział na działki budowlane o minimalnej powierzchni 800m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>, ponadto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ustala się wskaźniki miejsc parkingowych: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minimum 1,5 miejsca parkingowego/mieszkanie,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</w:rPr>
        <w:t>minimum 1 miejsce parkingowe na 30m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powierzchni użytkowej usług oraz minimum 1 miejsce parkingowe na 4 zatrudnionych, przy czym należy zapewnić</w:t>
      </w:r>
      <w:r>
        <w:rPr>
          <w:rFonts w:ascii="Times New Roman" w:hAnsi="Times New Roman"/>
        </w:rPr>
        <w:t xml:space="preserve"> minimum 1 miejsce parkingowe  na każdą usługę wbudowaną w budynkach mieszkalnych,</w:t>
      </w:r>
    </w:p>
    <w:p w:rsidR="00511E3A" w:rsidRDefault="00511E3A" w:rsidP="00511E3A">
      <w:pPr>
        <w:numPr>
          <w:ilvl w:val="0"/>
          <w:numId w:val="16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należy przewidzieć miejsca postojowe przeznaczone na parkowanie pojazdów zaopatrzonych w kartę parkingową w liczbie: minimum 1 stanowisko,</w:t>
      </w:r>
    </w:p>
    <w:p w:rsidR="00511E3A" w:rsidRDefault="00511E3A" w:rsidP="00511E3A">
      <w:pPr>
        <w:numPr>
          <w:ilvl w:val="0"/>
          <w:numId w:val="14"/>
        </w:numPr>
        <w:spacing w:before="60" w:after="60" w:line="276" w:lineRule="auto"/>
        <w:ind w:left="900" w:hanging="5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dopuszczonych budynków głównych: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wysokość 11m – do </w:t>
      </w:r>
      <w:r w:rsidR="005F0E11">
        <w:rPr>
          <w:rFonts w:ascii="Times New Roman" w:hAnsi="Times New Roman"/>
          <w:szCs w:val="22"/>
        </w:rPr>
        <w:t>3 kondygnacji nadziemnych</w:t>
      </w:r>
      <w:r>
        <w:rPr>
          <w:rFonts w:ascii="Times New Roman" w:hAnsi="Times New Roman"/>
          <w:szCs w:val="22"/>
        </w:rPr>
        <w:t xml:space="preserve"> (2 kondygnacje + poddasze użytkowe),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głównych połaci dachy dwuspadowe, pokryte dachówką ceramiczną w odcieniach czerwieni o kącie pochylenia połaci dachowej w przedziale 30-45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budynków towarzyszących, altan, wiat: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wysokość </w:t>
      </w:r>
      <w:r w:rsidR="005F0E11">
        <w:rPr>
          <w:rFonts w:ascii="Times New Roman" w:hAnsi="Times New Roman"/>
          <w:szCs w:val="22"/>
        </w:rPr>
        <w:t>4,0</w:t>
      </w:r>
      <w:r>
        <w:rPr>
          <w:rFonts w:ascii="Times New Roman" w:hAnsi="Times New Roman"/>
          <w:szCs w:val="22"/>
        </w:rPr>
        <w:t> m,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dla głównych połaci dachy płaskie, jednospadowe oraz dwuspadowe, o kącie pochylenia połaci dachowej do 20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zakresie wykończenia budynków ustala się tynki w odcieniach bieli, beżu, szarości, </w:t>
      </w:r>
      <w:proofErr w:type="spellStart"/>
      <w:r>
        <w:rPr>
          <w:rFonts w:ascii="Times New Roman" w:hAnsi="Times New Roman"/>
          <w:szCs w:val="22"/>
        </w:rPr>
        <w:t>ecru</w:t>
      </w:r>
      <w:proofErr w:type="spellEnd"/>
      <w:r>
        <w:rPr>
          <w:rFonts w:ascii="Times New Roman" w:hAnsi="Times New Roman"/>
          <w:szCs w:val="22"/>
        </w:rPr>
        <w:t>, dopuszcza się elewacje z wykorzystaniem innych materiałów w tym cegły, drewna, szkła itp., z wykluczeniem blachy falistej, trapezowej,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rozbudowy, nadbudowy i przebudowy budynków wg ustaleń jak dla nowej zabudowy. </w:t>
      </w:r>
    </w:p>
    <w:p w:rsidR="00511E3A" w:rsidRDefault="00511E3A" w:rsidP="00511E3A">
      <w:pPr>
        <w:numPr>
          <w:ilvl w:val="0"/>
          <w:numId w:val="14"/>
        </w:numPr>
        <w:spacing w:before="60" w:after="60" w:line="276" w:lineRule="auto"/>
        <w:ind w:left="993" w:hanging="567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szczególne warunki zagospodarowania terenów oraz ograniczenia ich użytkowania, w tym zakaz zabudowy: </w:t>
      </w:r>
    </w:p>
    <w:p w:rsidR="00511E3A" w:rsidRPr="00511E3A" w:rsidRDefault="00511E3A" w:rsidP="00511E3A">
      <w:pPr>
        <w:spacing w:before="60" w:after="60" w:line="276" w:lineRule="auto"/>
        <w:ind w:left="993"/>
        <w:jc w:val="left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a) w obszarze terenu jest zlokalizowany szpaler drzew do zachowania i ochrony,</w:t>
      </w:r>
    </w:p>
    <w:p w:rsidR="00511E3A" w:rsidRDefault="00511E3A" w:rsidP="00511E3A">
      <w:pPr>
        <w:spacing w:before="60" w:after="60" w:line="276" w:lineRule="auto"/>
        <w:ind w:left="993"/>
        <w:jc w:val="left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b) teren położony w granicach strefy ochrony konserwatorskiej stanowisk archeologicznych.</w:t>
      </w:r>
    </w:p>
    <w:p w:rsidR="00511E3A" w:rsidRDefault="00511E3A" w:rsidP="00511E3A">
      <w:pPr>
        <w:spacing w:before="60" w:after="60" w:line="276" w:lineRule="auto"/>
        <w:ind w:left="993"/>
        <w:jc w:val="left"/>
        <w:rPr>
          <w:rFonts w:ascii="Times New Roman" w:hAnsi="Times New Roman"/>
          <w:szCs w:val="22"/>
        </w:rPr>
      </w:pP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4:</w:t>
      </w:r>
    </w:p>
    <w:p w:rsidR="00511E3A" w:rsidRDefault="00511E3A" w:rsidP="00511E3A">
      <w:pPr>
        <w:numPr>
          <w:ilvl w:val="0"/>
          <w:numId w:val="17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powierzchnia:  </w:t>
      </w:r>
      <w:r>
        <w:rPr>
          <w:rFonts w:ascii="Times New Roman" w:hAnsi="Times New Roman"/>
          <w:b/>
          <w:sz w:val="24"/>
        </w:rPr>
        <w:t>4.MW,U</w:t>
      </w:r>
      <w:r>
        <w:rPr>
          <w:rFonts w:ascii="Times New Roman" w:hAnsi="Times New Roman"/>
          <w:szCs w:val="22"/>
        </w:rPr>
        <w:t xml:space="preserve"> o powierzchni ok. 1,4553ha;</w:t>
      </w:r>
    </w:p>
    <w:p w:rsidR="00511E3A" w:rsidRDefault="00511E3A" w:rsidP="00511E3A">
      <w:pPr>
        <w:numPr>
          <w:ilvl w:val="0"/>
          <w:numId w:val="17"/>
        </w:numPr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MW,U – tereny zabudowy mieszkaniowej wielorodzinnej, tereny zabudowy usługowej:</w:t>
      </w:r>
    </w:p>
    <w:p w:rsidR="00511E3A" w:rsidRDefault="00511E3A" w:rsidP="00511E3A">
      <w:pPr>
        <w:numPr>
          <w:ilvl w:val="0"/>
          <w:numId w:val="18"/>
        </w:numPr>
        <w:tabs>
          <w:tab w:val="num" w:pos="1134"/>
        </w:tabs>
        <w:spacing w:before="60" w:after="60" w:line="276" w:lineRule="auto"/>
        <w:ind w:left="1134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mieszkaniowe wielorodzinne, mieszkaniowo – usługowe, usługowe, 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jc w:val="left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budynki towarzyszące,</w:t>
      </w:r>
    </w:p>
    <w:p w:rsidR="00511E3A" w:rsidRDefault="00511E3A" w:rsidP="00511E3A">
      <w:pPr>
        <w:pStyle w:val="Akapitzlist"/>
        <w:numPr>
          <w:ilvl w:val="0"/>
          <w:numId w:val="5"/>
        </w:numPr>
        <w:tabs>
          <w:tab w:val="left" w:pos="567"/>
        </w:tabs>
        <w:ind w:left="1276" w:firstLine="0"/>
        <w:rPr>
          <w:rFonts w:ascii="Times New Roman" w:hAnsi="Times New Roman"/>
        </w:rPr>
      </w:pPr>
      <w:r>
        <w:rPr>
          <w:rFonts w:ascii="Times New Roman" w:hAnsi="Times New Roman"/>
        </w:rPr>
        <w:t>urządzenia towarzyszące, zieleń towarzysząca, dojścia, dojazdy, drogi wewnętrzne, wyposażenie terenu, wiaty, miejsca parkingowe i infrastruktura techniczna, urządzenia i obiekty związane z retencją wód opadowych,</w:t>
      </w:r>
    </w:p>
    <w:p w:rsidR="00511E3A" w:rsidRDefault="00511E3A" w:rsidP="00511E3A">
      <w:pPr>
        <w:numPr>
          <w:ilvl w:val="0"/>
          <w:numId w:val="18"/>
        </w:numPr>
        <w:tabs>
          <w:tab w:val="num" w:pos="1134"/>
        </w:tabs>
        <w:spacing w:before="60" w:after="60" w:line="276" w:lineRule="auto"/>
        <w:ind w:hanging="114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technicznej;</w:t>
      </w:r>
    </w:p>
    <w:p w:rsidR="00511E3A" w:rsidRDefault="00511E3A" w:rsidP="00511E3A">
      <w:pPr>
        <w:numPr>
          <w:ilvl w:val="0"/>
          <w:numId w:val="17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19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obowiązująca linia zabudowy zgodnie z rysunkiem koncepcji planu – zał. nr 1 do niniejszego opracowania, </w:t>
      </w:r>
    </w:p>
    <w:p w:rsidR="00511E3A" w:rsidRDefault="00511E3A" w:rsidP="00511E3A">
      <w:pPr>
        <w:numPr>
          <w:ilvl w:val="0"/>
          <w:numId w:val="19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nieprzekraczalna linia zabudowy zgodnie z rysunkiem koncepcji planu – zał. nr 1 do niniejszego opracowania,</w:t>
      </w:r>
    </w:p>
    <w:p w:rsidR="00511E3A" w:rsidRDefault="00511E3A" w:rsidP="00511E3A">
      <w:pPr>
        <w:numPr>
          <w:ilvl w:val="0"/>
          <w:numId w:val="1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powierzchnia zabudowy działki –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30%,</w:t>
      </w:r>
    </w:p>
    <w:p w:rsidR="00511E3A" w:rsidRDefault="00511E3A" w:rsidP="00511E3A">
      <w:pPr>
        <w:numPr>
          <w:ilvl w:val="0"/>
          <w:numId w:val="1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minimalny procent powierzchni terenów biologicznie czynnych w stosunku do powierzchni działki – 35%, </w:t>
      </w:r>
    </w:p>
    <w:p w:rsidR="00511E3A" w:rsidRDefault="0017697C" w:rsidP="00511E3A">
      <w:pPr>
        <w:numPr>
          <w:ilvl w:val="0"/>
          <w:numId w:val="19"/>
        </w:numPr>
        <w:spacing w:before="0" w:after="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>intensywność zabudowy –1,5 (dla kondygnacji nadziemnych 1,2),</w:t>
      </w:r>
    </w:p>
    <w:p w:rsidR="00511E3A" w:rsidRDefault="00511E3A" w:rsidP="00511E3A">
      <w:pPr>
        <w:numPr>
          <w:ilvl w:val="0"/>
          <w:numId w:val="19"/>
        </w:numPr>
        <w:tabs>
          <w:tab w:val="clear" w:pos="360"/>
          <w:tab w:val="num" w:pos="1418"/>
        </w:tabs>
        <w:spacing w:before="0" w:after="0" w:line="276" w:lineRule="auto"/>
        <w:ind w:left="113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główny kierunek obsługi komunikacyjnej z drogi wewnętrznej o symbolu 9.KDW (zjazd z ul Parkowej poprzez  nową drogę  usytuowaną w terenach pozyskanych od PKP - poza granicami planu),</w:t>
      </w:r>
    </w:p>
    <w:p w:rsidR="00511E3A" w:rsidRDefault="00511E3A" w:rsidP="00511E3A">
      <w:pPr>
        <w:numPr>
          <w:ilvl w:val="0"/>
          <w:numId w:val="1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dopuszcza się podział na działki budowlane o minimalnej powierzchni 1500m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>, ponadto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numPr>
          <w:ilvl w:val="0"/>
          <w:numId w:val="1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ustala się wskaźniki miejsc parkingowych: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minimum 1,5 miejsca parkingowego/mieszkanie,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</w:rPr>
        <w:t>minimum 1 miejsce parkingowe na 30m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powierzchni użytkowej usług oraz minimum 1 miejsce parkingowe na 4 zatrudnionych, przy czym należy zapewnić</w:t>
      </w:r>
      <w:r>
        <w:rPr>
          <w:rFonts w:ascii="Times New Roman" w:hAnsi="Times New Roman"/>
        </w:rPr>
        <w:t xml:space="preserve"> minimum 1 miejsce parkingowe  na każdą usługę wbudowaną w budynkach mieszkalnych,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dopuszcza się na powierzchni terenu lokalizację maksymalnie 100 miejsc postojowych, pozostałe niezbędne miejsca postojowe realizować w parkingach podziemnych,</w:t>
      </w:r>
    </w:p>
    <w:p w:rsidR="00511E3A" w:rsidRDefault="00511E3A" w:rsidP="00511E3A">
      <w:pPr>
        <w:numPr>
          <w:ilvl w:val="0"/>
          <w:numId w:val="1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należy przewidzieć miejsca postojowe przeznaczone na parkowanie pojazdów zaopatrzonych w kartę parkingową w liczbie: </w:t>
      </w:r>
    </w:p>
    <w:p w:rsidR="00511E3A" w:rsidRDefault="00511E3A" w:rsidP="00511E3A">
      <w:pPr>
        <w:pStyle w:val="Akapitzlist"/>
        <w:numPr>
          <w:ilvl w:val="0"/>
          <w:numId w:val="20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 stanowisko – jeżeli liczba stanowisk wynosi 6-15,</w:t>
      </w:r>
    </w:p>
    <w:p w:rsidR="00511E3A" w:rsidRDefault="00511E3A" w:rsidP="00511E3A">
      <w:pPr>
        <w:pStyle w:val="Akapitzlist"/>
        <w:numPr>
          <w:ilvl w:val="0"/>
          <w:numId w:val="20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 stanowiska – jeżeli liczba stanowisk wynosi 16-40,</w:t>
      </w:r>
    </w:p>
    <w:p w:rsidR="00511E3A" w:rsidRDefault="00511E3A" w:rsidP="00511E3A">
      <w:pPr>
        <w:pStyle w:val="Akapitzlist"/>
        <w:numPr>
          <w:ilvl w:val="0"/>
          <w:numId w:val="20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 4% ogólnej liczby stanowisk jeżeli ogólna liczba stanowisk wynosi więcej niż 40.</w:t>
      </w:r>
    </w:p>
    <w:p w:rsidR="00511E3A" w:rsidRDefault="00511E3A" w:rsidP="00511E3A">
      <w:pPr>
        <w:numPr>
          <w:ilvl w:val="0"/>
          <w:numId w:val="17"/>
        </w:numPr>
        <w:spacing w:before="60" w:after="60" w:line="276" w:lineRule="auto"/>
        <w:ind w:left="900" w:hanging="5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dopuszczonych budynków głównych: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dla budynków z dachami płaskimi - maksymalna wysokość 14m – </w:t>
      </w:r>
      <w:r w:rsidR="0017697C">
        <w:rPr>
          <w:rFonts w:ascii="Times New Roman" w:hAnsi="Times New Roman"/>
          <w:szCs w:val="22"/>
        </w:rPr>
        <w:t xml:space="preserve">do </w:t>
      </w:r>
      <w:r>
        <w:rPr>
          <w:rFonts w:ascii="Times New Roman" w:hAnsi="Times New Roman"/>
          <w:szCs w:val="22"/>
        </w:rPr>
        <w:t>4 kondygnacj</w:t>
      </w:r>
      <w:r w:rsidR="0017697C"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 xml:space="preserve"> nadziemn</w:t>
      </w:r>
      <w:r w:rsidR="0017697C">
        <w:rPr>
          <w:rFonts w:ascii="Times New Roman" w:hAnsi="Times New Roman"/>
          <w:szCs w:val="22"/>
        </w:rPr>
        <w:t>ych</w:t>
      </w:r>
      <w:r>
        <w:rPr>
          <w:rFonts w:ascii="Times New Roman" w:hAnsi="Times New Roman"/>
          <w:szCs w:val="22"/>
        </w:rPr>
        <w:t>, dopuszcza się wycofanie ostatniej kondygnacji na głębokość min 3m,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budynków towarzyszących, altan wiat: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wysokość 4 m,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dla głównych połaci dachy płaskie,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zakresie wykończenia budynków ustala się tynki w odcieniach bieli, szarości, beżu, </w:t>
      </w:r>
      <w:proofErr w:type="spellStart"/>
      <w:r>
        <w:rPr>
          <w:rFonts w:ascii="Times New Roman" w:hAnsi="Times New Roman"/>
          <w:szCs w:val="22"/>
        </w:rPr>
        <w:t>ecru</w:t>
      </w:r>
      <w:proofErr w:type="spellEnd"/>
      <w:r>
        <w:rPr>
          <w:rFonts w:ascii="Times New Roman" w:hAnsi="Times New Roman"/>
          <w:szCs w:val="22"/>
        </w:rPr>
        <w:t>, dopuszcza się elewacje z wykorzystaniem innych materiałów w tym cegły, drewna, szkła itp., z wykluczeniem blachy falistej, trapezowej,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rozbudowy, nadbudowy i przebudowy budynków wg ustaleń jak dla nowej zabudowy. </w:t>
      </w:r>
    </w:p>
    <w:p w:rsidR="00511E3A" w:rsidRDefault="00511E3A" w:rsidP="00511E3A">
      <w:pPr>
        <w:numPr>
          <w:ilvl w:val="0"/>
          <w:numId w:val="17"/>
        </w:numPr>
        <w:spacing w:before="60" w:after="60" w:line="276" w:lineRule="auto"/>
        <w:ind w:left="993" w:hanging="567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szczególne warunki zagospodarowania terenów oraz ograniczenia ich użytkowania, w tym zakaz zabudowy:</w:t>
      </w:r>
    </w:p>
    <w:p w:rsidR="00511E3A" w:rsidRDefault="00511E3A" w:rsidP="00511E3A">
      <w:pPr>
        <w:pStyle w:val="Akapitzlist"/>
        <w:numPr>
          <w:ilvl w:val="0"/>
          <w:numId w:val="21"/>
        </w:numPr>
        <w:spacing w:before="60" w:after="6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usunięcie, likwidację obiektów i zagospodarowania  dysharmonizującego, </w:t>
      </w:r>
    </w:p>
    <w:p w:rsidR="00511E3A" w:rsidRDefault="00511E3A" w:rsidP="00511E3A">
      <w:pPr>
        <w:pStyle w:val="Akapitzlist"/>
        <w:numPr>
          <w:ilvl w:val="0"/>
          <w:numId w:val="21"/>
        </w:numPr>
        <w:spacing w:before="60" w:after="60" w:line="276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nakaz urządzenia ogólnodostępnego ciągu pieszo – rowerowego pokazanego na rysunku koncepcji planu w orientacyjnym przebiegu,</w:t>
      </w:r>
    </w:p>
    <w:p w:rsidR="00511E3A" w:rsidRDefault="00511E3A" w:rsidP="00511E3A">
      <w:pPr>
        <w:pStyle w:val="Akapitzlist"/>
        <w:numPr>
          <w:ilvl w:val="0"/>
          <w:numId w:val="21"/>
        </w:numPr>
        <w:spacing w:before="60" w:after="60" w:line="276" w:lineRule="auto"/>
        <w:jc w:val="left"/>
        <w:rPr>
          <w:rFonts w:cs="Arial"/>
          <w:szCs w:val="22"/>
        </w:rPr>
      </w:pPr>
      <w:r>
        <w:rPr>
          <w:rFonts w:ascii="Times New Roman" w:hAnsi="Times New Roman"/>
          <w:szCs w:val="22"/>
        </w:rPr>
        <w:t xml:space="preserve">nakaz urządzenia pasa zieleni </w:t>
      </w:r>
      <w:proofErr w:type="spellStart"/>
      <w:r>
        <w:rPr>
          <w:rFonts w:ascii="Times New Roman" w:hAnsi="Times New Roman"/>
          <w:szCs w:val="22"/>
        </w:rPr>
        <w:t>izolacyjno</w:t>
      </w:r>
      <w:proofErr w:type="spellEnd"/>
      <w:r>
        <w:rPr>
          <w:rFonts w:ascii="Times New Roman" w:hAnsi="Times New Roman"/>
          <w:szCs w:val="22"/>
        </w:rPr>
        <w:t xml:space="preserve"> – krajobrazowej pokazanej na rysunku koncepcji planu,</w:t>
      </w:r>
    </w:p>
    <w:p w:rsidR="00511E3A" w:rsidRDefault="00511E3A" w:rsidP="00511E3A">
      <w:pPr>
        <w:pStyle w:val="Akapitzlist"/>
        <w:numPr>
          <w:ilvl w:val="0"/>
          <w:numId w:val="21"/>
        </w:numPr>
        <w:spacing w:before="60" w:after="60" w:line="276" w:lineRule="auto"/>
        <w:jc w:val="left"/>
        <w:rPr>
          <w:rFonts w:cs="Arial"/>
          <w:szCs w:val="22"/>
        </w:rPr>
      </w:pPr>
      <w:r>
        <w:rPr>
          <w:rFonts w:ascii="Times New Roman" w:hAnsi="Times New Roman"/>
          <w:szCs w:val="22"/>
        </w:rPr>
        <w:t>nakaz zachowania i uwzględnienia w zagospodarowaniu  terenu osi widokowej wzdłuż ulicy Mazurów  i ekspozycję  na zamek z wiaduktu (Droga krajowa 22 –Aleja Wojska Polskiego w kierunku Alei Rodła)  na</w:t>
      </w:r>
      <w:r w:rsidR="0017697C">
        <w:rPr>
          <w:rFonts w:ascii="Times New Roman" w:hAnsi="Times New Roman"/>
          <w:szCs w:val="22"/>
        </w:rPr>
        <w:t xml:space="preserve"> całej  długości jego przebiegu,</w:t>
      </w:r>
    </w:p>
    <w:p w:rsidR="00511E3A" w:rsidRDefault="00511E3A" w:rsidP="00511E3A">
      <w:pPr>
        <w:pStyle w:val="Akapitzlist"/>
        <w:numPr>
          <w:ilvl w:val="0"/>
          <w:numId w:val="21"/>
        </w:numPr>
        <w:spacing w:before="60" w:after="60" w:line="276" w:lineRule="auto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lastRenderedPageBreak/>
        <w:t xml:space="preserve">teren położony w granicach strefy ochrony konserwatorskiej stanowisk archeologicznych, </w:t>
      </w:r>
    </w:p>
    <w:p w:rsidR="0017697C" w:rsidRPr="00511E3A" w:rsidRDefault="0017697C" w:rsidP="00511E3A">
      <w:pPr>
        <w:pStyle w:val="Akapitzlist"/>
        <w:numPr>
          <w:ilvl w:val="0"/>
          <w:numId w:val="21"/>
        </w:numPr>
        <w:spacing w:before="60" w:after="6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nakaz zagospodarowania min 50% wód opadowych i roztopowych w granicach własnego terenu.</w:t>
      </w: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5:</w:t>
      </w:r>
    </w:p>
    <w:p w:rsidR="00511E3A" w:rsidRDefault="00511E3A" w:rsidP="00511E3A">
      <w:pPr>
        <w:numPr>
          <w:ilvl w:val="0"/>
          <w:numId w:val="22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powierzchnia:  </w:t>
      </w:r>
      <w:r>
        <w:rPr>
          <w:rFonts w:ascii="Times New Roman" w:hAnsi="Times New Roman"/>
          <w:b/>
          <w:sz w:val="24"/>
        </w:rPr>
        <w:t>5.U</w:t>
      </w:r>
      <w:r>
        <w:rPr>
          <w:rFonts w:ascii="Times New Roman" w:hAnsi="Times New Roman"/>
          <w:szCs w:val="22"/>
        </w:rPr>
        <w:t xml:space="preserve"> o pow. ok. 0,0783ha, </w:t>
      </w:r>
      <w:r>
        <w:rPr>
          <w:rFonts w:ascii="Times New Roman" w:hAnsi="Times New Roman"/>
          <w:b/>
          <w:sz w:val="24"/>
        </w:rPr>
        <w:t>7.U</w:t>
      </w:r>
      <w:r>
        <w:rPr>
          <w:rFonts w:ascii="Times New Roman" w:hAnsi="Times New Roman"/>
          <w:szCs w:val="22"/>
        </w:rPr>
        <w:t xml:space="preserve"> o powierzchni ok. 0,0810ha;</w:t>
      </w:r>
    </w:p>
    <w:p w:rsidR="00511E3A" w:rsidRDefault="00511E3A" w:rsidP="00511E3A">
      <w:pPr>
        <w:numPr>
          <w:ilvl w:val="0"/>
          <w:numId w:val="22"/>
        </w:numPr>
        <w:spacing w:before="60" w:after="60" w:line="276" w:lineRule="auto"/>
        <w:ind w:left="851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U – tereny zabudowy usługowej:</w:t>
      </w:r>
    </w:p>
    <w:p w:rsidR="00511E3A" w:rsidRDefault="00511E3A" w:rsidP="00511E3A">
      <w:pPr>
        <w:numPr>
          <w:ilvl w:val="0"/>
          <w:numId w:val="23"/>
        </w:numPr>
        <w:tabs>
          <w:tab w:val="num" w:pos="1134"/>
        </w:tabs>
        <w:spacing w:before="60" w:after="60" w:line="276" w:lineRule="auto"/>
        <w:ind w:left="1134" w:hanging="28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usługowe – w tym  istniejące ujęte w wojewódzkiej i gminnej ewidencji zabytków, w terenie 7.U dopuszcza się sytuowanie budynku o charakterze oficyny lub rozbudowę istniejącego budynku , 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istniejącą funkcję mieszkalną w budynkach uznaje się za zgodną z ustaleniami planu,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</w:rPr>
        <w:t>urządzenia towarzyszące, zieleń towarzysząca, dojścia, dojazdy, drogi wewnętrzne, wyposażenie terenu, wiaty, miejsca parkingowe i infrastruktura techniczna,</w:t>
      </w:r>
    </w:p>
    <w:p w:rsidR="00511E3A" w:rsidRDefault="00511E3A" w:rsidP="00511E3A">
      <w:pPr>
        <w:numPr>
          <w:ilvl w:val="0"/>
          <w:numId w:val="23"/>
        </w:numPr>
        <w:tabs>
          <w:tab w:val="num" w:pos="1134"/>
        </w:tabs>
        <w:spacing w:before="60" w:after="60" w:line="276" w:lineRule="auto"/>
        <w:ind w:hanging="114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technicznej,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budynki gospodarcze i garaże wolnostojące lub dobudowane do budynków;</w:t>
      </w:r>
    </w:p>
    <w:p w:rsidR="00511E3A" w:rsidRDefault="00511E3A" w:rsidP="00511E3A">
      <w:pPr>
        <w:numPr>
          <w:ilvl w:val="0"/>
          <w:numId w:val="22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24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obowiązująca linia zabudowy zgodnie z rysunkiem koncepcji planu – zał. nr 1 do niniejszego opracowania, </w:t>
      </w:r>
    </w:p>
    <w:p w:rsidR="00511E3A" w:rsidRDefault="00511E3A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nieprzekraczalna linia zabudowy zgodnie z rysunkiem koncepcji planu – zał. nr 1 do niniejszego opracowania,</w:t>
      </w:r>
    </w:p>
    <w:p w:rsidR="00511E3A" w:rsidRDefault="00511E3A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powierzchnia zabudowy terenu wydzielonego liniami rozgraniczającymi: dla terenu 5U - 38</w:t>
      </w:r>
      <w:r>
        <w:rPr>
          <w:rFonts w:ascii="Times New Roman" w:eastAsia="Calibri" w:hAnsi="Times New Roman"/>
          <w:bCs/>
          <w:szCs w:val="22"/>
          <w:lang w:eastAsia="en-US"/>
        </w:rPr>
        <w:t>%, dla terenu 7.U – 70%</w:t>
      </w:r>
    </w:p>
    <w:p w:rsidR="00511E3A" w:rsidRDefault="00511E3A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minimalny procent powierzchni terenów biologicznie czynnych w stosunku do powierzchni działki – 0% (istniejące zainwestowanie w centrum miasta), </w:t>
      </w:r>
    </w:p>
    <w:p w:rsidR="00511E3A" w:rsidRDefault="0017697C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 xml:space="preserve">intensywność zabudowy dla terenu 5.U –1,6, (dla kondygnacji nadziemnych 1,2) dla terenu 7.U –2,8 (dla kondygnacji nadziemnych 2,1), </w:t>
      </w:r>
    </w:p>
    <w:p w:rsidR="00511E3A" w:rsidRDefault="00511E3A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lokalizację zabudowy przy granicy działki oraz w odległości 1,5m od tej granicy,</w:t>
      </w:r>
    </w:p>
    <w:p w:rsidR="00511E3A" w:rsidRDefault="00511E3A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główny kierunek obsługi komunikacyjnej z  ul. Kościuszki położonej poza granicami planu,</w:t>
      </w:r>
    </w:p>
    <w:p w:rsidR="00511E3A" w:rsidRDefault="00511E3A" w:rsidP="00511E3A">
      <w:pPr>
        <w:numPr>
          <w:ilvl w:val="0"/>
          <w:numId w:val="2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 przewiduje się nowych podziałów geodezyjnych na działki budowlane, ponadto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pStyle w:val="Akapitzlist"/>
        <w:numPr>
          <w:ilvl w:val="0"/>
          <w:numId w:val="24"/>
        </w:numPr>
        <w:tabs>
          <w:tab w:val="clear" w:pos="360"/>
          <w:tab w:val="num" w:pos="1134"/>
        </w:tabs>
        <w:ind w:left="113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 ustala się wymaganej minimalnej ilości miejsc postojowych (ze względu na istniejące zainwestowanie oraz położenie w strefie zabudowy śródmiejskiej);</w:t>
      </w:r>
    </w:p>
    <w:p w:rsidR="00511E3A" w:rsidRDefault="00511E3A" w:rsidP="00511E3A">
      <w:pPr>
        <w:spacing w:before="0" w:after="0" w:line="276" w:lineRule="auto"/>
        <w:ind w:left="1418"/>
        <w:rPr>
          <w:rFonts w:ascii="Times New Roman" w:hAnsi="Times New Roman"/>
          <w:szCs w:val="22"/>
        </w:rPr>
      </w:pPr>
    </w:p>
    <w:p w:rsidR="00511E3A" w:rsidRDefault="00511E3A" w:rsidP="00511E3A">
      <w:pPr>
        <w:numPr>
          <w:ilvl w:val="0"/>
          <w:numId w:val="22"/>
        </w:numPr>
        <w:spacing w:before="60" w:after="60" w:line="276" w:lineRule="auto"/>
        <w:ind w:left="900" w:hanging="5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dla budynków ujętych w wojewódzkiej i gminnej ewidencji zabytków: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wymóg ochrony i zachowania historycznych cech takich jak: forma architektoniczna, bryła budynku, kształt dachu, pokrycie dachu, kąt nachylenia głównych połaci, dyspozycja ścian (rozmieszczenie otworów okiennych i drzwiowych, podziały architektoniczne elewacji), detal architektoniczny (w tym kształt, wielkość okien, podziały stolarki okiennej i drzwiowej itp.), historyczna kolorystyka oraz historyczne materiały,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nakazuje się utrzymanie historycznej kompozycji elewacji,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  <w:bCs/>
        </w:rPr>
        <w:t>zakaz ocieplania od zewnątrz części budynku o elewacjach ceglanych i z detalem architektonicznym, dopuszcza się ocieplenie wewnętrzne</w:t>
      </w:r>
      <w:r>
        <w:rPr>
          <w:rFonts w:ascii="Times New Roman" w:hAnsi="Times New Roman"/>
        </w:rPr>
        <w:t>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dopuszcza się rozbudowę budynków od tyłu działek w zakresie dobudowania elementów niezbędnych dla dostosowania budynku do aktualnych norm oraz w zakresie niezbędnych rozwiązań funkcyjnych (m in. dostosowanie do potrzeb osób niepełnosprawnych),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zakaz nadbudowy budynków,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dopuszcza się wymianę połaci dachowej, przy wymianie połaci dachowej nakazuje się odtworzenie dachu w jego formie oraz materiale pokrycia, dopuszcza się zmianę wysokości wynikającą z koniecznych rozwiązań technologicznych,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dopuszcza się wymianę stolarki okiennej i drzwiowej przy czym: zakazuje się zmiany proporcji historycznych otworów okiennych i drzwi zewnętrznych, wymiana stolarki okiennej i drzwiowej winna mieć charakter odtworzeniowy względem historycznej istniejącej stolarki również pod względem podziałów stolarki, dopuszcza się przywrócenie pierwotnej wielkości i proporcji otworów okiennych, drzwi zewnętrznych i historycznych podziałów stolarki okiennej;,</w:t>
      </w:r>
      <w:r>
        <w:rPr>
          <w:rFonts w:ascii="Times New Roman" w:hAnsi="Times New Roman"/>
          <w:bCs/>
        </w:rPr>
        <w:t xml:space="preserve"> dopuszcza się adaptację budynku – dostosowanie do nowych funkcji z zastrzeżeniem zachowania historycznych cech budynku, dopuszcza się zmiany w układzie wewnętrznym obiektu;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budynków głównych: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wysokość 8 m,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głównych połaci dachy płaskie, jednospadowe oraz dwuspadowe, o kącie pochylenia połaci dachowej do 15 - 45</w:t>
      </w:r>
      <w:r>
        <w:rPr>
          <w:rFonts w:ascii="Times New Roman" w:hAnsi="Times New Roman"/>
          <w:szCs w:val="22"/>
          <w:vertAlign w:val="superscript"/>
        </w:rPr>
        <w:t>0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rozbudowy i przebudowy budynków wg ustaleń jak dla nowej zabudowy. </w:t>
      </w:r>
    </w:p>
    <w:p w:rsidR="00511E3A" w:rsidRDefault="00511E3A" w:rsidP="00511E3A">
      <w:pPr>
        <w:numPr>
          <w:ilvl w:val="0"/>
          <w:numId w:val="22"/>
        </w:numPr>
        <w:spacing w:before="60" w:after="60" w:line="276" w:lineRule="auto"/>
        <w:ind w:left="993" w:hanging="567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szczególne warunki zagospodarowania terenów oraz ograniczenia ich użytkowania, w tym zakaz zabudowy:</w:t>
      </w:r>
    </w:p>
    <w:p w:rsidR="00511E3A" w:rsidRDefault="00511E3A" w:rsidP="00511E3A">
      <w:pPr>
        <w:pStyle w:val="Akapitzlist"/>
        <w:numPr>
          <w:ilvl w:val="0"/>
          <w:numId w:val="26"/>
        </w:numPr>
        <w:spacing w:before="60" w:after="6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występują budynki o wartościach historycznych, chronione ustaleniami planu, ujęte w Wojewódzkiej Ewidencji Zabytków i Gminnej Ewidencji Zabytków,</w:t>
      </w:r>
      <w:r>
        <w:t xml:space="preserve"> </w:t>
      </w:r>
      <w:r>
        <w:rPr>
          <w:rFonts w:ascii="Times New Roman" w:hAnsi="Times New Roman"/>
          <w:szCs w:val="22"/>
        </w:rPr>
        <w:t xml:space="preserve">dopuszcza się  działania rewitalizacyjne obiektów zabytkowych, </w:t>
      </w:r>
    </w:p>
    <w:p w:rsidR="00511E3A" w:rsidRDefault="00511E3A" w:rsidP="00511E3A">
      <w:pPr>
        <w:pStyle w:val="Akapitzlist"/>
        <w:numPr>
          <w:ilvl w:val="0"/>
          <w:numId w:val="26"/>
        </w:numPr>
        <w:spacing w:before="60" w:after="6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nakaz działań rewitalizacyjnych na zapleczu historycznej zabudowy wzdłuż ulicy Kościuszki;</w:t>
      </w:r>
    </w:p>
    <w:p w:rsidR="00511E3A" w:rsidRDefault="00511E3A" w:rsidP="00511E3A">
      <w:pPr>
        <w:pStyle w:val="Akapitzlist"/>
        <w:numPr>
          <w:ilvl w:val="0"/>
          <w:numId w:val="26"/>
        </w:numPr>
        <w:spacing w:before="60" w:after="6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teren położony w granicach strefy ochrony konserwatorskiej</w:t>
      </w:r>
      <w:r>
        <w:t xml:space="preserve"> </w:t>
      </w:r>
      <w:r>
        <w:rPr>
          <w:rFonts w:ascii="Times New Roman" w:hAnsi="Times New Roman"/>
        </w:rPr>
        <w:t xml:space="preserve">obejmującej </w:t>
      </w:r>
      <w:r>
        <w:rPr>
          <w:rFonts w:ascii="Times New Roman" w:hAnsi="Times New Roman"/>
          <w:szCs w:val="22"/>
        </w:rPr>
        <w:t xml:space="preserve">układ urbanistyczny północnego Śródmieścia Miasta Malborka, w otoczeniu obszaru Starego Miasta – ujęty w gminnej ewidencji zabytków, granica układu pokazana </w:t>
      </w:r>
      <w:r>
        <w:rPr>
          <w:rFonts w:ascii="Times New Roman" w:hAnsi="Times New Roman"/>
          <w:szCs w:val="22"/>
        </w:rPr>
        <w:lastRenderedPageBreak/>
        <w:t xml:space="preserve">została na rysunku; ochronie podlega historyczna struktura przestrzenna tej części miasta,  </w:t>
      </w:r>
    </w:p>
    <w:p w:rsidR="00511E3A" w:rsidRPr="00511E3A" w:rsidRDefault="00511E3A" w:rsidP="00511E3A">
      <w:pPr>
        <w:pStyle w:val="Akapitzlist"/>
        <w:numPr>
          <w:ilvl w:val="0"/>
          <w:numId w:val="26"/>
        </w:numPr>
        <w:spacing w:before="60" w:after="60" w:line="276" w:lineRule="auto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teren położony w strefie ochrony konserwatorskiej stanowisk archeologicznych</w:t>
      </w:r>
    </w:p>
    <w:p w:rsidR="00511E3A" w:rsidRDefault="00511E3A" w:rsidP="00511E3A">
      <w:pPr>
        <w:pStyle w:val="Akapitzlist"/>
        <w:numPr>
          <w:ilvl w:val="0"/>
          <w:numId w:val="26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usunięcie, likwidację obiektów i zagospodarowania dysharmonizującego ; </w:t>
      </w: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6:</w:t>
      </w:r>
    </w:p>
    <w:p w:rsidR="00511E3A" w:rsidRDefault="00511E3A" w:rsidP="00511E3A">
      <w:pPr>
        <w:numPr>
          <w:ilvl w:val="0"/>
          <w:numId w:val="27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 :  </w:t>
      </w:r>
      <w:r>
        <w:rPr>
          <w:rFonts w:ascii="Times New Roman" w:hAnsi="Times New Roman"/>
          <w:b/>
          <w:sz w:val="24"/>
        </w:rPr>
        <w:t>6.U</w:t>
      </w:r>
      <w:r>
        <w:rPr>
          <w:rFonts w:ascii="Times New Roman" w:hAnsi="Times New Roman"/>
          <w:szCs w:val="22"/>
        </w:rPr>
        <w:t xml:space="preserve"> o pow. ok. 0,3267ha;</w:t>
      </w:r>
    </w:p>
    <w:p w:rsidR="00511E3A" w:rsidRDefault="00511E3A" w:rsidP="00511E3A">
      <w:pPr>
        <w:numPr>
          <w:ilvl w:val="0"/>
          <w:numId w:val="27"/>
        </w:numPr>
        <w:spacing w:before="60" w:after="60" w:line="276" w:lineRule="auto"/>
        <w:ind w:left="851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U – tereny zabudowy usługowej:</w:t>
      </w:r>
    </w:p>
    <w:p w:rsidR="00511E3A" w:rsidRDefault="00511E3A" w:rsidP="00511E3A">
      <w:pPr>
        <w:numPr>
          <w:ilvl w:val="0"/>
          <w:numId w:val="28"/>
        </w:numPr>
        <w:tabs>
          <w:tab w:val="num" w:pos="1418"/>
        </w:tabs>
        <w:spacing w:before="60" w:after="60" w:line="276" w:lineRule="auto"/>
        <w:ind w:left="1418" w:hanging="28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usługowe, </w:t>
      </w:r>
    </w:p>
    <w:p w:rsidR="00511E3A" w:rsidRDefault="0017697C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jc w:val="left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i urządzenia </w:t>
      </w:r>
      <w:r w:rsidR="00511E3A">
        <w:rPr>
          <w:rFonts w:ascii="Times New Roman" w:eastAsia="Calibri" w:hAnsi="Times New Roman"/>
          <w:szCs w:val="22"/>
          <w:lang w:eastAsia="en-US"/>
        </w:rPr>
        <w:t xml:space="preserve"> towarzyszące,</w:t>
      </w:r>
      <w:r>
        <w:rPr>
          <w:rFonts w:ascii="Times New Roman" w:eastAsia="Calibri" w:hAnsi="Times New Roman"/>
          <w:szCs w:val="22"/>
          <w:lang w:eastAsia="en-US"/>
        </w:rPr>
        <w:t xml:space="preserve"> wiaty, altany</w:t>
      </w:r>
    </w:p>
    <w:p w:rsidR="00511E3A" w:rsidRDefault="00511E3A" w:rsidP="00511E3A">
      <w:pPr>
        <w:pStyle w:val="Akapitzlist"/>
        <w:numPr>
          <w:ilvl w:val="0"/>
          <w:numId w:val="5"/>
        </w:numPr>
        <w:ind w:left="1418" w:hanging="142"/>
        <w:rPr>
          <w:rFonts w:ascii="Times New Roman" w:hAnsi="Times New Roman"/>
        </w:rPr>
      </w:pPr>
      <w:r>
        <w:rPr>
          <w:rFonts w:ascii="Times New Roman" w:hAnsi="Times New Roman"/>
        </w:rPr>
        <w:t>urządzenia towarzyszące, zieleń towarzysząca, dojścia, dojazdy, drogi wewnętrzne, wyposażenie terenu, wiaty, miejsca parkingowe i infrastruktura techniczna,</w:t>
      </w:r>
      <w:r>
        <w:t xml:space="preserve"> </w:t>
      </w:r>
      <w:r>
        <w:rPr>
          <w:rFonts w:ascii="Times New Roman" w:hAnsi="Times New Roman"/>
        </w:rPr>
        <w:t>urządzenia i obiekty związane z retencją wód opadowych,</w:t>
      </w:r>
    </w:p>
    <w:p w:rsidR="00511E3A" w:rsidRDefault="0017697C" w:rsidP="0017697C">
      <w:pPr>
        <w:spacing w:before="60" w:after="60" w:line="276" w:lineRule="auto"/>
        <w:ind w:left="99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b) </w:t>
      </w:r>
      <w:r w:rsidR="00511E3A"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technicznej;</w:t>
      </w:r>
    </w:p>
    <w:p w:rsidR="00511E3A" w:rsidRDefault="00511E3A" w:rsidP="00511E3A">
      <w:pPr>
        <w:numPr>
          <w:ilvl w:val="0"/>
          <w:numId w:val="27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29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obowiązująca linia zabudowy zgodnie z rysunkiem koncepcji planu – zał. nr 1 do niniejszego opracowania, </w:t>
      </w:r>
    </w:p>
    <w:p w:rsidR="007F6922" w:rsidRPr="007F6922" w:rsidRDefault="007F6922" w:rsidP="007F6922">
      <w:pPr>
        <w:numPr>
          <w:ilvl w:val="0"/>
          <w:numId w:val="29"/>
        </w:numPr>
        <w:tabs>
          <w:tab w:val="clear" w:pos="360"/>
          <w:tab w:val="num" w:pos="1418"/>
        </w:tabs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nieprzekraczalna</w:t>
      </w:r>
      <w:r w:rsidRPr="007F6922">
        <w:rPr>
          <w:rFonts w:ascii="Times New Roman" w:hAnsi="Times New Roman"/>
          <w:szCs w:val="22"/>
        </w:rPr>
        <w:t xml:space="preserve"> linia zabudowy zgodnie z rysunkiem koncepcji planu – zał. nr 1 do niniejszego opracowania, </w:t>
      </w:r>
      <w:bookmarkStart w:id="0" w:name="_GoBack"/>
      <w:bookmarkEnd w:id="0"/>
    </w:p>
    <w:p w:rsidR="0017697C" w:rsidRPr="0017697C" w:rsidRDefault="00511E3A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 w:rsidRPr="0017697C">
        <w:rPr>
          <w:rFonts w:ascii="Times New Roman" w:hAnsi="Times New Roman"/>
          <w:szCs w:val="22"/>
        </w:rPr>
        <w:t>maksymalna powierzchnia zabudowy działki –</w:t>
      </w:r>
      <w:r w:rsidRPr="0017697C">
        <w:rPr>
          <w:rFonts w:ascii="Times New Roman" w:eastAsia="Calibri" w:hAnsi="Times New Roman"/>
          <w:bCs/>
          <w:szCs w:val="22"/>
          <w:lang w:eastAsia="en-US"/>
        </w:rPr>
        <w:t xml:space="preserve"> </w:t>
      </w:r>
      <w:r w:rsidR="0017697C" w:rsidRPr="0017697C">
        <w:rPr>
          <w:rFonts w:ascii="Times New Roman" w:eastAsia="Calibri" w:hAnsi="Times New Roman"/>
          <w:bCs/>
          <w:szCs w:val="22"/>
          <w:lang w:eastAsia="en-US"/>
        </w:rPr>
        <w:t>4</w:t>
      </w:r>
      <w:r w:rsidRPr="0017697C">
        <w:rPr>
          <w:rFonts w:ascii="Times New Roman" w:eastAsia="Calibri" w:hAnsi="Times New Roman"/>
          <w:bCs/>
          <w:szCs w:val="22"/>
          <w:lang w:eastAsia="en-US"/>
        </w:rPr>
        <w:t>0%</w:t>
      </w:r>
      <w:r w:rsidR="0017697C" w:rsidRPr="0017697C">
        <w:rPr>
          <w:rFonts w:ascii="Times New Roman" w:eastAsia="Calibri" w:hAnsi="Times New Roman"/>
          <w:bCs/>
          <w:szCs w:val="22"/>
          <w:lang w:eastAsia="en-US"/>
        </w:rPr>
        <w:t xml:space="preserve">, </w:t>
      </w:r>
      <w:r w:rsidRPr="0017697C">
        <w:rPr>
          <w:rFonts w:ascii="Times New Roman" w:eastAsia="Calibri" w:hAnsi="Times New Roman"/>
          <w:bCs/>
          <w:szCs w:val="22"/>
          <w:lang w:eastAsia="en-US"/>
        </w:rPr>
        <w:t xml:space="preserve"> </w:t>
      </w:r>
    </w:p>
    <w:p w:rsidR="00511E3A" w:rsidRPr="0017697C" w:rsidRDefault="00511E3A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 w:rsidRPr="0017697C">
        <w:rPr>
          <w:rFonts w:ascii="Times New Roman" w:hAnsi="Times New Roman"/>
          <w:szCs w:val="22"/>
        </w:rPr>
        <w:t>minimalny procent powierzchni terenów biologicznie czynnych w stosunku do powierzchni działki – 15%,</w:t>
      </w:r>
    </w:p>
    <w:p w:rsidR="00511E3A" w:rsidRDefault="00511E3A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lokalizację zabudowy przy granicy działki oraz w odległości 1,5m od tej granicy,</w:t>
      </w:r>
    </w:p>
    <w:p w:rsidR="00511E3A" w:rsidRDefault="0017697C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>intensywność zabudowy 2 (dla kondygnacji nadziemnych 1,4),</w:t>
      </w:r>
    </w:p>
    <w:p w:rsidR="00511E3A" w:rsidRDefault="00511E3A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główny kierunek obsługi komunikacyjnej z  ul. Kościuszki położonej poza granicami planu, dopuszcza się obsługę komunikacyjną z dróg wewnętrznych wydzielonych na etapie zainwestowania terenów sąsiednich (o symbolach 8.U i 4.MW,U),</w:t>
      </w:r>
    </w:p>
    <w:p w:rsidR="00511E3A" w:rsidRDefault="00511E3A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 przewiduje się nowych podziałów geodezyjnych na działki budowlane, ponadto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numPr>
          <w:ilvl w:val="0"/>
          <w:numId w:val="29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ustala się wskaźniki miejsc parkingowych: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minimum 1 miejsce parkingowe na każdy wydzielony pokój hotelowy,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</w:rPr>
        <w:t>minimum 1 miejsce parkingowe na 30m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powierzchni użytkowej pozostałych usług oraz minimum 1 miejsce parkingowe na 4 zatrudnionych, nie mniej niż 2 miejsce postojowe na usługę</w:t>
      </w:r>
      <w:r>
        <w:rPr>
          <w:rFonts w:ascii="Times New Roman" w:hAnsi="Times New Roman"/>
        </w:rPr>
        <w:t>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należy przewidzieć miejsca postojowe przeznaczone na parkowanie pojazdów zaopatrzonych w kartę parkingową w liczbie: minimum 2 stanowiska dla całego terenu;</w:t>
      </w:r>
    </w:p>
    <w:p w:rsidR="00511E3A" w:rsidRDefault="00511E3A" w:rsidP="00511E3A">
      <w:pPr>
        <w:numPr>
          <w:ilvl w:val="0"/>
          <w:numId w:val="27"/>
        </w:numPr>
        <w:spacing w:before="60" w:after="60" w:line="276" w:lineRule="auto"/>
        <w:ind w:left="900" w:hanging="5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budynku ujętego w Wojewódzkiej i Gminnej Ewidencji Zabytków, wskazanego na rysunku: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nakaz </w:t>
      </w:r>
      <w:proofErr w:type="spellStart"/>
      <w:r>
        <w:rPr>
          <w:rFonts w:ascii="Times New Roman" w:hAnsi="Times New Roman"/>
        </w:rPr>
        <w:t>restylizacji</w:t>
      </w:r>
      <w:proofErr w:type="spellEnd"/>
      <w:r>
        <w:rPr>
          <w:rFonts w:ascii="Times New Roman" w:hAnsi="Times New Roman"/>
        </w:rPr>
        <w:t xml:space="preserve"> obiektu w oparciu o materiały ikonograficzne,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nakazuje się odtworzenie i nawiązanie do historycznej kompozycji elewacji,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dopuszcza się rozbudowę budynków od tyłu działek w zakresie dobudowania elementów niezbędnych dla dostosowania budynku do aktualnych norm oraz w zakresie niezbędnych rozwiązań funkcyjnych (m in. dostosowanie do potrzeb osób niepełnosprawnych),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zakaz nadbudowy budynku,</w:t>
      </w:r>
    </w:p>
    <w:p w:rsidR="00511E3A" w:rsidRDefault="00511E3A" w:rsidP="00511E3A">
      <w:pPr>
        <w:pStyle w:val="Akapitzlist"/>
        <w:numPr>
          <w:ilvl w:val="0"/>
          <w:numId w:val="25"/>
        </w:numPr>
        <w:spacing w:after="0" w:line="276" w:lineRule="auto"/>
        <w:ind w:left="1701" w:hanging="283"/>
        <w:rPr>
          <w:rFonts w:ascii="Times New Roman" w:hAnsi="Times New Roman"/>
        </w:rPr>
      </w:pPr>
      <w:r>
        <w:rPr>
          <w:rFonts w:ascii="Times New Roman" w:hAnsi="Times New Roman"/>
        </w:rPr>
        <w:t>dopuszcza się wymianę połaci dachowej, przy wymianie połaci dachowej nakazuje się nawiązanie do historycznej połaci wg materiałów ikonograficznych, dopuszcza się zmianę wysokości wynikającą z koniecznych rozwiązań technologicznych,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pozostałych budynków głównych i towarzyszących:</w:t>
      </w:r>
    </w:p>
    <w:p w:rsidR="00511E3A" w:rsidRDefault="00511E3A" w:rsidP="00511E3A">
      <w:pPr>
        <w:pStyle w:val="Akapitzlist"/>
        <w:numPr>
          <w:ilvl w:val="0"/>
          <w:numId w:val="30"/>
        </w:numPr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wysokość 8 m (</w:t>
      </w:r>
      <w:r w:rsidR="0017697C">
        <w:rPr>
          <w:rFonts w:ascii="Times New Roman" w:hAnsi="Times New Roman"/>
          <w:szCs w:val="22"/>
        </w:rPr>
        <w:t>do 2 kondygnacji</w:t>
      </w:r>
      <w:r>
        <w:rPr>
          <w:rFonts w:ascii="Times New Roman" w:hAnsi="Times New Roman"/>
          <w:szCs w:val="22"/>
        </w:rPr>
        <w:t xml:space="preserve"> nadziemn</w:t>
      </w:r>
      <w:r w:rsidR="0017697C">
        <w:rPr>
          <w:rFonts w:ascii="Times New Roman" w:hAnsi="Times New Roman"/>
          <w:szCs w:val="22"/>
        </w:rPr>
        <w:t>ych</w:t>
      </w:r>
      <w:r>
        <w:rPr>
          <w:rFonts w:ascii="Times New Roman" w:hAnsi="Times New Roman"/>
          <w:szCs w:val="22"/>
        </w:rPr>
        <w:t>),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dla głównych połaci dachy płaskie lub </w:t>
      </w:r>
      <w:r w:rsidR="0017697C">
        <w:rPr>
          <w:rFonts w:ascii="Times New Roman" w:hAnsi="Times New Roman"/>
          <w:szCs w:val="22"/>
        </w:rPr>
        <w:t>strome o nachyleniu 15-45 stopni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rozbudowy, i przebudowy budynków wg ustaleń jak dla nowej zabudowy. </w:t>
      </w:r>
    </w:p>
    <w:p w:rsidR="00511E3A" w:rsidRDefault="00511E3A" w:rsidP="00511E3A">
      <w:pPr>
        <w:numPr>
          <w:ilvl w:val="0"/>
          <w:numId w:val="27"/>
        </w:numPr>
        <w:spacing w:before="60" w:after="60" w:line="276" w:lineRule="auto"/>
        <w:ind w:left="993" w:hanging="567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szczególne warunki zagospodarowania terenów oraz ograniczenia ich użytkowania, w tym zakaz zabudowy:</w:t>
      </w:r>
    </w:p>
    <w:p w:rsidR="00511E3A" w:rsidRDefault="00511E3A" w:rsidP="00511E3A">
      <w:pPr>
        <w:pStyle w:val="Akapitzlist"/>
        <w:numPr>
          <w:ilvl w:val="0"/>
          <w:numId w:val="31"/>
        </w:numPr>
        <w:spacing w:before="60" w:after="60" w:line="276" w:lineRule="auto"/>
        <w:ind w:left="113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występują budynki o wartościach historycznych, chronione ustaleniami planu, ujęte w Wojewódzkiej Ewidencji Zabytków i Gminnej Ewidencji Zabytków, dopuszcza się  działania rewitalizacyjne obiektów zabytkowych ,</w:t>
      </w:r>
    </w:p>
    <w:p w:rsidR="00511E3A" w:rsidRDefault="00511E3A" w:rsidP="00511E3A">
      <w:pPr>
        <w:pStyle w:val="Akapitzlist"/>
        <w:numPr>
          <w:ilvl w:val="0"/>
          <w:numId w:val="31"/>
        </w:numPr>
        <w:spacing w:before="60" w:after="60" w:line="276" w:lineRule="auto"/>
        <w:ind w:left="113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teren położony w granicach strefy ochrony konserwatorskiej obejmującej układ urbanistyczny północnego Śródmieścia Miasta Malborka, w otoczeniu obszaru Starego Miasta – ujęty w gminnej ewidencji zabytków, granica układu pokazana została na rysunku; ochronie podlega historyczna struktura przestrzenna tej części miasta,</w:t>
      </w:r>
    </w:p>
    <w:p w:rsidR="00511E3A" w:rsidRPr="00511E3A" w:rsidRDefault="00511E3A" w:rsidP="00511E3A">
      <w:pPr>
        <w:pStyle w:val="Akapitzlist"/>
        <w:numPr>
          <w:ilvl w:val="0"/>
          <w:numId w:val="31"/>
        </w:numPr>
        <w:spacing w:before="60" w:after="60" w:line="276" w:lineRule="auto"/>
        <w:ind w:left="1134" w:firstLine="0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teren położony w strefie ochrony konserwatorskiej stanowisk archeologicznych,</w:t>
      </w:r>
    </w:p>
    <w:p w:rsidR="00511E3A" w:rsidRDefault="00511E3A" w:rsidP="00511E3A">
      <w:pPr>
        <w:pStyle w:val="Akapitzlist"/>
        <w:numPr>
          <w:ilvl w:val="0"/>
          <w:numId w:val="31"/>
        </w:numPr>
        <w:ind w:left="113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usunięcie, likwidację obiektów i zagospodarowania dysharmonizującego; </w:t>
      </w:r>
    </w:p>
    <w:p w:rsidR="00511E3A" w:rsidRDefault="00511E3A" w:rsidP="00511E3A">
      <w:pPr>
        <w:rPr>
          <w:rFonts w:ascii="Times New Roman" w:hAnsi="Times New Roman"/>
          <w:szCs w:val="22"/>
        </w:rPr>
      </w:pP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jc w:val="left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  <w:u w:val="single"/>
        </w:rPr>
        <w:t>Karta terenu nr 7:</w:t>
      </w:r>
    </w:p>
    <w:p w:rsidR="00511E3A" w:rsidRDefault="00511E3A" w:rsidP="00511E3A">
      <w:pPr>
        <w:numPr>
          <w:ilvl w:val="0"/>
          <w:numId w:val="32"/>
        </w:numPr>
        <w:tabs>
          <w:tab w:val="clear" w:pos="360"/>
          <w:tab w:val="num" w:pos="851"/>
        </w:tabs>
        <w:spacing w:before="60" w:after="60" w:line="276" w:lineRule="auto"/>
        <w:ind w:left="851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symbol terenu, powierzchnia:  </w:t>
      </w:r>
      <w:r>
        <w:rPr>
          <w:rFonts w:ascii="Times New Roman" w:hAnsi="Times New Roman"/>
          <w:b/>
          <w:sz w:val="24"/>
        </w:rPr>
        <w:t>8.U</w:t>
      </w:r>
      <w:r>
        <w:rPr>
          <w:rFonts w:ascii="Times New Roman" w:hAnsi="Times New Roman"/>
          <w:szCs w:val="22"/>
        </w:rPr>
        <w:t xml:space="preserve"> o pow. ok. 0,4756ha;</w:t>
      </w:r>
    </w:p>
    <w:p w:rsidR="00511E3A" w:rsidRDefault="00511E3A" w:rsidP="00511E3A">
      <w:pPr>
        <w:numPr>
          <w:ilvl w:val="0"/>
          <w:numId w:val="32"/>
        </w:numPr>
        <w:spacing w:before="60" w:after="60" w:line="276" w:lineRule="auto"/>
        <w:ind w:left="851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przeznaczenie i sposoby zabudowy i zagospodarowania: U – tereny zabudowy usługowej:</w:t>
      </w:r>
    </w:p>
    <w:p w:rsidR="00511E3A" w:rsidRDefault="00511E3A" w:rsidP="00511E3A">
      <w:pPr>
        <w:numPr>
          <w:ilvl w:val="0"/>
          <w:numId w:val="33"/>
        </w:numPr>
        <w:tabs>
          <w:tab w:val="num" w:pos="1276"/>
        </w:tabs>
        <w:spacing w:before="60" w:after="60" w:line="276" w:lineRule="auto"/>
        <w:ind w:left="1276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dopuszczalne formy zabudowy i zagospodarowania: dla obszaru ustala się lokalizację zwartej zabudowy śródmiejskiej w skład której dopuszcza się: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budynki główne – usługowe, 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plac publiczny z zielenią urządzoną,</w:t>
      </w:r>
    </w:p>
    <w:p w:rsidR="00511E3A" w:rsidRDefault="00511E3A" w:rsidP="00511E3A">
      <w:pPr>
        <w:numPr>
          <w:ilvl w:val="0"/>
          <w:numId w:val="5"/>
        </w:numPr>
        <w:tabs>
          <w:tab w:val="num" w:pos="1418"/>
        </w:tabs>
        <w:spacing w:before="0" w:after="0" w:line="276" w:lineRule="auto"/>
        <w:ind w:left="1418" w:hanging="284"/>
        <w:rPr>
          <w:rFonts w:eastAsia="Calibri"/>
          <w:szCs w:val="22"/>
          <w:lang w:eastAsia="en-US"/>
        </w:rPr>
      </w:pPr>
      <w:r>
        <w:rPr>
          <w:rFonts w:ascii="Times New Roman" w:hAnsi="Times New Roman"/>
        </w:rPr>
        <w:lastRenderedPageBreak/>
        <w:t>urządzenia towarzyszące, zieleń towarzysząca, dojścia, dojazdy, drogi wewnętrzne, wyposażenie terenu, wiaty, miejsca parkingowe i infrastruktura techniczna, urządzenia i obiekty związane z retencją wód opadowych,</w:t>
      </w:r>
    </w:p>
    <w:p w:rsidR="00511E3A" w:rsidRDefault="00511E3A" w:rsidP="00511E3A">
      <w:pPr>
        <w:numPr>
          <w:ilvl w:val="0"/>
          <w:numId w:val="33"/>
        </w:numPr>
        <w:tabs>
          <w:tab w:val="num" w:pos="993"/>
        </w:tabs>
        <w:spacing w:before="60" w:after="60" w:line="276" w:lineRule="auto"/>
        <w:ind w:left="993" w:hanging="142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wykluczone formy zabudowy i zagospodarowania:</w:t>
      </w:r>
    </w:p>
    <w:p w:rsidR="00511E3A" w:rsidRDefault="00511E3A" w:rsidP="00511E3A">
      <w:pPr>
        <w:numPr>
          <w:ilvl w:val="0"/>
          <w:numId w:val="6"/>
        </w:numPr>
        <w:spacing w:before="0" w:after="160" w:line="256" w:lineRule="auto"/>
        <w:ind w:left="1418" w:hanging="284"/>
        <w:contextualSpacing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przedsięwzięcia mogące zawsze znacząco oddziaływać na środowisko oraz mogące potencjalnie oddziaływać na środowisko (wg klasyfikacji przepisów odrębnych) za wyjątkiem obiektów infrastruktury technicznej;</w:t>
      </w:r>
    </w:p>
    <w:p w:rsidR="00511E3A" w:rsidRDefault="00511E3A" w:rsidP="00511E3A">
      <w:pPr>
        <w:numPr>
          <w:ilvl w:val="0"/>
          <w:numId w:val="32"/>
        </w:numPr>
        <w:spacing w:before="60" w:after="60" w:line="276" w:lineRule="auto"/>
        <w:ind w:left="900" w:hanging="54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zasady zagospodarowania terenu i wskaźniki urbanistyczne: 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nieprzekraczalna linia zabudowy zgodnie z rysunkiem koncepcji planu – zał. nr 1 do niniejszego opracowania – dopuszcza się sytuowanie poza wyznaczonymi liniami zabudowy tymczasowych obiektów usługowych o maksymalnej wysokości obiektów – 4m oraz powierzchni każdego obiektu – maksymalnie 10m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>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maksymalna powierzchnia zabudowy terenu wydzielonego liniami rozgraniczającymi –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37%,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minimalny procent powierzchni terenów biologicznie czynnych w stosunku do powierzchni działki – 15%, przy czym dla obszaru oznaczonego jako plac publiczny z zielenią urządzoną – minimum 50% ma stanowić teren biologicznie czynny,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lokalizację zabudowy przy granicy działki oraz w odległości 1,5m od tej granicy,</w:t>
      </w:r>
    </w:p>
    <w:p w:rsidR="00511E3A" w:rsidRDefault="0050266C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maksymalna </w:t>
      </w:r>
      <w:r w:rsidR="00511E3A">
        <w:rPr>
          <w:rFonts w:ascii="Times New Roman" w:hAnsi="Times New Roman"/>
          <w:szCs w:val="22"/>
        </w:rPr>
        <w:t>intensywność zabudowy 1,1 (dla kondygnacji nadziemnych 0,75),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wymagane urządzenie publicznego placu z zielenią urządzoną jako celu publicznego,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główny kierunek obsługi komunikacyjnej z  ul. Kościuszki położonej poza granicami planu, dopuszcza się obsługę komunikacyjną z dróg wewnętrznych wydzielonych na etapie zainwestowania terenów sąsiednich (o symbolu 6.U),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dopuszcza się podział na działki budowlane o minimalnej powierzchni 400m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>, ponadto dopuszcza się łączenia, scalenia i podziały nieruchomości: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powiększenia sąsiedniej nieruchomości,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lokalizacji obiektów infrastruktury technicznej,</w:t>
      </w:r>
    </w:p>
    <w:p w:rsidR="00511E3A" w:rsidRDefault="00511E3A" w:rsidP="00511E3A">
      <w:pPr>
        <w:pStyle w:val="Akapitzlist"/>
        <w:numPr>
          <w:ilvl w:val="0"/>
          <w:numId w:val="8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celu wydzielenia dojazdu,</w:t>
      </w:r>
    </w:p>
    <w:p w:rsidR="00511E3A" w:rsidRDefault="00511E3A" w:rsidP="00511E3A">
      <w:pPr>
        <w:numPr>
          <w:ilvl w:val="0"/>
          <w:numId w:val="34"/>
        </w:numPr>
        <w:spacing w:before="0" w:after="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ustala się wskaźniki miejsc parkingowych: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</w:rPr>
        <w:t>minimum 1 miejsce parkingowe na 50m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powierzchni użytkowej usług,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dopuszcza się na powierzchni terenu lokalizację maksymalnie 35 miejsc postojowych, dopuszcza się miejsca postojowe wyłącznie dla potrzeb klientów usług,  </w:t>
      </w:r>
    </w:p>
    <w:p w:rsidR="00511E3A" w:rsidRDefault="00511E3A" w:rsidP="00511E3A">
      <w:pPr>
        <w:pStyle w:val="Akapitzlist"/>
        <w:numPr>
          <w:ilvl w:val="0"/>
          <w:numId w:val="13"/>
        </w:numPr>
        <w:spacing w:before="0" w:after="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należy przewidzieć miejsca postojowe przeznaczone na parkowanie pojazdów zaopatrzonych w kartę parkingową w liczbie: minimum 3 stanowiska dla całego terenu;</w:t>
      </w:r>
    </w:p>
    <w:p w:rsidR="00511E3A" w:rsidRDefault="00511E3A" w:rsidP="00511E3A">
      <w:pPr>
        <w:numPr>
          <w:ilvl w:val="0"/>
          <w:numId w:val="32"/>
        </w:numPr>
        <w:spacing w:before="60" w:after="60" w:line="276" w:lineRule="auto"/>
        <w:ind w:left="900" w:hanging="5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parametry i wskaźniki kształtowania zabudowy: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dla budynków głównych i towarzyszących:</w:t>
      </w:r>
    </w:p>
    <w:p w:rsidR="00511E3A" w:rsidRDefault="00511E3A" w:rsidP="00511E3A">
      <w:pPr>
        <w:pStyle w:val="Akapitzlist"/>
        <w:numPr>
          <w:ilvl w:val="0"/>
          <w:numId w:val="30"/>
        </w:numPr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maksymaln</w:t>
      </w:r>
      <w:r w:rsidR="0050266C">
        <w:rPr>
          <w:rFonts w:ascii="Times New Roman" w:hAnsi="Times New Roman"/>
          <w:szCs w:val="22"/>
        </w:rPr>
        <w:t>a wysokość 8 m (do 2 kondygnacji nadziemnych</w:t>
      </w:r>
      <w:r>
        <w:rPr>
          <w:rFonts w:ascii="Times New Roman" w:hAnsi="Times New Roman"/>
          <w:szCs w:val="22"/>
        </w:rPr>
        <w:t>),</w:t>
      </w:r>
    </w:p>
    <w:p w:rsidR="00511E3A" w:rsidRDefault="00511E3A" w:rsidP="00511E3A">
      <w:pPr>
        <w:numPr>
          <w:ilvl w:val="0"/>
          <w:numId w:val="9"/>
        </w:numPr>
        <w:tabs>
          <w:tab w:val="num" w:pos="1701"/>
        </w:tabs>
        <w:spacing w:before="60" w:after="60" w:line="276" w:lineRule="auto"/>
        <w:ind w:left="1701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dla głównych połaci dachy płaskie, 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wymagania z zakresu czasu nasłonecznienia budynków wg przepisów odrębnych – jak dla zabudowy śródmiejskiej,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zakresie wykończenia budynków ustala się tynki w odcieniach bieli, szarości, beżu, </w:t>
      </w:r>
      <w:proofErr w:type="spellStart"/>
      <w:r>
        <w:rPr>
          <w:rFonts w:ascii="Times New Roman" w:hAnsi="Times New Roman"/>
          <w:szCs w:val="22"/>
        </w:rPr>
        <w:t>ecru</w:t>
      </w:r>
      <w:proofErr w:type="spellEnd"/>
      <w:r>
        <w:rPr>
          <w:rFonts w:ascii="Times New Roman" w:hAnsi="Times New Roman"/>
          <w:szCs w:val="22"/>
        </w:rPr>
        <w:t>, dopuszcza się elewacje z wykorzystaniem innych materiałów w tym cegły, drewna, szkła itp., z wykluczeniem blachy falistej, trapezowej,</w:t>
      </w:r>
    </w:p>
    <w:p w:rsidR="00511E3A" w:rsidRDefault="00511E3A" w:rsidP="00511E3A">
      <w:pPr>
        <w:numPr>
          <w:ilvl w:val="2"/>
          <w:numId w:val="2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dopuszcza się rozbudowy, nadbudowy i przebudowy budynków wg ustaleń jak dla nowej zabudowy. </w:t>
      </w:r>
    </w:p>
    <w:p w:rsidR="00511E3A" w:rsidRDefault="00511E3A" w:rsidP="00511E3A">
      <w:pPr>
        <w:numPr>
          <w:ilvl w:val="0"/>
          <w:numId w:val="32"/>
        </w:numPr>
        <w:spacing w:before="60" w:after="60" w:line="276" w:lineRule="auto"/>
        <w:ind w:left="993" w:hanging="567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szczególne warunki zagospodarowania terenów oraz ograniczenia ich użytkowania, w tym zakaz zabudowy:</w:t>
      </w:r>
    </w:p>
    <w:p w:rsidR="00511E3A" w:rsidRDefault="00511E3A" w:rsidP="00511E3A">
      <w:pPr>
        <w:pStyle w:val="Akapitzlist"/>
        <w:numPr>
          <w:ilvl w:val="0"/>
          <w:numId w:val="35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teren położony w granicach strefy ochrony konserwatorskiej obejmującej układ urbanistyczny północnego Śródmieścia Miasta Malborka, w otoczeniu obszaru Starego Miasta – ujęty w gminnej ewidencji zabytków, granica układu pokazana została na rysunku; ochronie podlega historyczna struktura przestrzenna tej części miasta,</w:t>
      </w:r>
    </w:p>
    <w:p w:rsidR="00511E3A" w:rsidRPr="00511E3A" w:rsidRDefault="00511E3A" w:rsidP="00511E3A">
      <w:pPr>
        <w:pStyle w:val="Akapitzlist"/>
        <w:numPr>
          <w:ilvl w:val="0"/>
          <w:numId w:val="35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 w:rsidRPr="00511E3A">
        <w:rPr>
          <w:rFonts w:ascii="Times New Roman" w:hAnsi="Times New Roman"/>
          <w:szCs w:val="22"/>
        </w:rPr>
        <w:t>teren położony w granicach strefy ochrony konserwatorskiej stanowisk archeologicznych,</w:t>
      </w:r>
    </w:p>
    <w:p w:rsidR="00511E3A" w:rsidRDefault="00511E3A" w:rsidP="00511E3A">
      <w:pPr>
        <w:pStyle w:val="Akapitzlist"/>
        <w:numPr>
          <w:ilvl w:val="0"/>
          <w:numId w:val="35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ciąg pieszo – rowerowy ogólnodostępny wymagany w urządzeniu terenu, orientacyjny jego przebieg pokazano na rysunku; </w:t>
      </w:r>
    </w:p>
    <w:p w:rsidR="00511E3A" w:rsidRDefault="00511E3A" w:rsidP="00511E3A">
      <w:pPr>
        <w:pStyle w:val="Akapitzlist"/>
        <w:numPr>
          <w:ilvl w:val="0"/>
          <w:numId w:val="35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plac publiczny z zielenią urządzoną wymagany w urządzeniu terenu;</w:t>
      </w:r>
    </w:p>
    <w:p w:rsidR="00511E3A" w:rsidRDefault="00511E3A" w:rsidP="00511E3A">
      <w:pPr>
        <w:pStyle w:val="Akapitzlist"/>
        <w:numPr>
          <w:ilvl w:val="0"/>
          <w:numId w:val="35"/>
        </w:numPr>
        <w:spacing w:before="60" w:after="60" w:line="276" w:lineRule="auto"/>
        <w:ind w:left="1418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dopuszcza się usunięcie, likwidację obiektów i zagospodarowania dysharmonizującego; </w:t>
      </w:r>
    </w:p>
    <w:p w:rsidR="00511E3A" w:rsidRDefault="00511E3A" w:rsidP="00511E3A">
      <w:pPr>
        <w:numPr>
          <w:ilvl w:val="0"/>
          <w:numId w:val="2"/>
        </w:numPr>
        <w:spacing w:before="240" w:after="240" w:line="276" w:lineRule="auto"/>
        <w:ind w:left="426" w:hanging="426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Karta terenu nr 8:</w:t>
      </w:r>
    </w:p>
    <w:p w:rsidR="00511E3A" w:rsidRDefault="0050266C" w:rsidP="00511E3A">
      <w:pPr>
        <w:numPr>
          <w:ilvl w:val="0"/>
          <w:numId w:val="36"/>
        </w:numPr>
        <w:tabs>
          <w:tab w:val="clear" w:pos="1080"/>
          <w:tab w:val="num" w:pos="851"/>
          <w:tab w:val="num" w:pos="1134"/>
          <w:tab w:val="num" w:pos="1276"/>
        </w:tabs>
        <w:spacing w:before="60" w:after="60" w:line="240" w:lineRule="auto"/>
        <w:ind w:hanging="65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symbol terenu, powierzchnia</w:t>
      </w:r>
      <w:r w:rsidR="00511E3A">
        <w:rPr>
          <w:rFonts w:ascii="Times New Roman" w:hAnsi="Times New Roman"/>
          <w:b/>
          <w:bCs/>
        </w:rPr>
        <w:t>:</w:t>
      </w:r>
      <w:r w:rsidR="00511E3A">
        <w:rPr>
          <w:rFonts w:ascii="Times New Roman" w:hAnsi="Times New Roman"/>
        </w:rPr>
        <w:t xml:space="preserve"> </w:t>
      </w:r>
      <w:r w:rsidR="00511E3A" w:rsidRPr="0050266C">
        <w:rPr>
          <w:rFonts w:ascii="Times New Roman" w:hAnsi="Times New Roman"/>
          <w:b/>
          <w:sz w:val="24"/>
        </w:rPr>
        <w:t>9. KDW</w:t>
      </w:r>
      <w:r>
        <w:rPr>
          <w:rFonts w:ascii="Times New Roman" w:hAnsi="Times New Roman"/>
        </w:rPr>
        <w:t xml:space="preserve"> o pow. ok. 0,1134ha</w:t>
      </w:r>
      <w:r w:rsidR="00511E3A">
        <w:rPr>
          <w:rFonts w:ascii="Times New Roman" w:hAnsi="Times New Roman"/>
        </w:rPr>
        <w:t>;</w:t>
      </w:r>
    </w:p>
    <w:p w:rsidR="00511E3A" w:rsidRDefault="00511E3A" w:rsidP="00511E3A">
      <w:pPr>
        <w:numPr>
          <w:ilvl w:val="0"/>
          <w:numId w:val="36"/>
        </w:numPr>
        <w:tabs>
          <w:tab w:val="clear" w:pos="1080"/>
          <w:tab w:val="num" w:pos="851"/>
          <w:tab w:val="num" w:pos="1134"/>
          <w:tab w:val="num" w:pos="1276"/>
        </w:tabs>
        <w:spacing w:before="60" w:after="60" w:line="240" w:lineRule="auto"/>
        <w:ind w:hanging="65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przeznaczenie, klasyfikacja </w:t>
      </w:r>
      <w:proofErr w:type="spellStart"/>
      <w:r>
        <w:rPr>
          <w:rFonts w:ascii="Times New Roman" w:hAnsi="Times New Roman"/>
          <w:b/>
          <w:bCs/>
        </w:rPr>
        <w:t>funkcjonalno</w:t>
      </w:r>
      <w:proofErr w:type="spellEnd"/>
      <w:r>
        <w:rPr>
          <w:rFonts w:ascii="Times New Roman" w:hAnsi="Times New Roman"/>
          <w:b/>
          <w:bCs/>
        </w:rPr>
        <w:t xml:space="preserve"> – techniczna: </w:t>
      </w:r>
      <w:r w:rsidR="0050266C">
        <w:rPr>
          <w:rFonts w:ascii="Times New Roman" w:hAnsi="Times New Roman"/>
        </w:rPr>
        <w:t xml:space="preserve">teren komunikacyjny, </w:t>
      </w:r>
      <w:r>
        <w:rPr>
          <w:rFonts w:ascii="Times New Roman" w:hAnsi="Times New Roman"/>
        </w:rPr>
        <w:t>dróg wewnętrznych;</w:t>
      </w:r>
    </w:p>
    <w:p w:rsidR="00511E3A" w:rsidRDefault="00511E3A" w:rsidP="00511E3A">
      <w:pPr>
        <w:numPr>
          <w:ilvl w:val="0"/>
          <w:numId w:val="36"/>
        </w:numPr>
        <w:tabs>
          <w:tab w:val="clear" w:pos="1080"/>
          <w:tab w:val="num" w:pos="0"/>
          <w:tab w:val="num" w:pos="851"/>
          <w:tab w:val="num" w:pos="1134"/>
          <w:tab w:val="num" w:pos="1276"/>
        </w:tabs>
        <w:spacing w:before="60" w:after="60" w:line="240" w:lineRule="auto"/>
        <w:ind w:hanging="65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parametry, wyposażenie, dostępność;</w:t>
      </w:r>
    </w:p>
    <w:p w:rsidR="00511E3A" w:rsidRDefault="00511E3A" w:rsidP="00511E3A">
      <w:pPr>
        <w:numPr>
          <w:ilvl w:val="0"/>
          <w:numId w:val="37"/>
        </w:numPr>
        <w:tabs>
          <w:tab w:val="num" w:pos="1134"/>
        </w:tabs>
        <w:spacing w:before="60" w:after="60" w:line="24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szerokość - zgodnie z rysunkiem planu,</w:t>
      </w:r>
    </w:p>
    <w:p w:rsidR="00511E3A" w:rsidRDefault="00511E3A" w:rsidP="00511E3A">
      <w:pPr>
        <w:numPr>
          <w:ilvl w:val="0"/>
          <w:numId w:val="37"/>
        </w:numPr>
        <w:tabs>
          <w:tab w:val="num" w:pos="1134"/>
        </w:tabs>
        <w:spacing w:before="60" w:after="60" w:line="24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dopuszcza się umieszczenie wyposażenia typu ławki, kosze na śmieci </w:t>
      </w:r>
      <w:proofErr w:type="spellStart"/>
      <w:r>
        <w:rPr>
          <w:rFonts w:ascii="Times New Roman" w:hAnsi="Times New Roman"/>
        </w:rPr>
        <w:t>i.t.p</w:t>
      </w:r>
      <w:proofErr w:type="spellEnd"/>
      <w:r>
        <w:rPr>
          <w:rFonts w:ascii="Times New Roman" w:hAnsi="Times New Roman"/>
        </w:rPr>
        <w:t xml:space="preserve">, </w:t>
      </w:r>
    </w:p>
    <w:p w:rsidR="00511E3A" w:rsidRDefault="00511E3A" w:rsidP="00511E3A">
      <w:pPr>
        <w:numPr>
          <w:ilvl w:val="0"/>
          <w:numId w:val="37"/>
        </w:numPr>
        <w:tabs>
          <w:tab w:val="num" w:pos="1134"/>
        </w:tabs>
        <w:spacing w:before="60" w:after="60" w:line="24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nakaz realizacji oświetlenia,</w:t>
      </w:r>
    </w:p>
    <w:p w:rsidR="00511E3A" w:rsidRDefault="00511E3A" w:rsidP="00511E3A">
      <w:pPr>
        <w:numPr>
          <w:ilvl w:val="0"/>
          <w:numId w:val="37"/>
        </w:numPr>
        <w:tabs>
          <w:tab w:val="num" w:pos="1134"/>
        </w:tabs>
        <w:spacing w:before="60" w:after="60" w:line="24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dopuszcza się łączenie ruchu samochodowego, rowerowego i pieszego w jednej przestrzeni.</w:t>
      </w:r>
    </w:p>
    <w:p w:rsidR="00511E3A" w:rsidRDefault="00511E3A" w:rsidP="00511E3A">
      <w:pPr>
        <w:spacing w:line="276" w:lineRule="auto"/>
        <w:rPr>
          <w:rFonts w:cs="Arial"/>
          <w:szCs w:val="22"/>
        </w:rPr>
      </w:pPr>
    </w:p>
    <w:p w:rsidR="00511E3A" w:rsidRDefault="00511E3A" w:rsidP="00511E3A">
      <w:pPr>
        <w:spacing w:line="276" w:lineRule="auto"/>
        <w:rPr>
          <w:rFonts w:cs="Arial"/>
          <w:szCs w:val="22"/>
        </w:rPr>
      </w:pPr>
    </w:p>
    <w:p w:rsidR="00511E3A" w:rsidRDefault="00511E3A" w:rsidP="00511E3A">
      <w:pPr>
        <w:spacing w:line="276" w:lineRule="auto"/>
        <w:rPr>
          <w:rFonts w:cs="Arial"/>
          <w:szCs w:val="22"/>
        </w:rPr>
      </w:pPr>
    </w:p>
    <w:p w:rsidR="00511E3A" w:rsidRPr="0050266C" w:rsidRDefault="0050266C" w:rsidP="00511E3A">
      <w:pPr>
        <w:rPr>
          <w:u w:val="single"/>
        </w:rPr>
      </w:pPr>
      <w:r w:rsidRPr="0050266C">
        <w:rPr>
          <w:u w:val="single"/>
        </w:rPr>
        <w:t>Opracowanie:</w:t>
      </w:r>
    </w:p>
    <w:p w:rsidR="0050266C" w:rsidRDefault="0050266C" w:rsidP="00511E3A">
      <w:r>
        <w:t xml:space="preserve">mgr </w:t>
      </w:r>
      <w:proofErr w:type="spellStart"/>
      <w:r>
        <w:t>inż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Mariola Kowalkowska</w:t>
      </w:r>
    </w:p>
    <w:p w:rsidR="0050266C" w:rsidRDefault="0050266C" w:rsidP="00511E3A">
      <w:r>
        <w:t xml:space="preserve">mgr </w:t>
      </w:r>
      <w:proofErr w:type="spellStart"/>
      <w:r>
        <w:t>inż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Maria Kiełb-Stańczuk </w:t>
      </w:r>
    </w:p>
    <w:p w:rsidR="0050266C" w:rsidRDefault="0050266C" w:rsidP="00511E3A"/>
    <w:p w:rsidR="0050266C" w:rsidRDefault="0050266C" w:rsidP="00511E3A">
      <w:r>
        <w:t xml:space="preserve">03 grudnia 2019 r. </w:t>
      </w:r>
    </w:p>
    <w:p w:rsidR="00511E3A" w:rsidRDefault="00511E3A" w:rsidP="00511E3A"/>
    <w:p w:rsidR="00660C32" w:rsidRDefault="004E6234"/>
    <w:sectPr w:rsidR="00660C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34" w:rsidRDefault="004E6234" w:rsidP="00511E3A">
      <w:pPr>
        <w:spacing w:before="0" w:after="0" w:line="240" w:lineRule="auto"/>
      </w:pPr>
      <w:r>
        <w:separator/>
      </w:r>
    </w:p>
  </w:endnote>
  <w:endnote w:type="continuationSeparator" w:id="0">
    <w:p w:rsidR="004E6234" w:rsidRDefault="004E6234" w:rsidP="00511E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739604"/>
      <w:docPartObj>
        <w:docPartGallery w:val="Page Numbers (Bottom of Page)"/>
        <w:docPartUnique/>
      </w:docPartObj>
    </w:sdtPr>
    <w:sdtEndPr/>
    <w:sdtContent>
      <w:p w:rsidR="00511E3A" w:rsidRDefault="00511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22">
          <w:rPr>
            <w:noProof/>
          </w:rPr>
          <w:t>15</w:t>
        </w:r>
        <w:r>
          <w:fldChar w:fldCharType="end"/>
        </w:r>
      </w:p>
    </w:sdtContent>
  </w:sdt>
  <w:p w:rsidR="00511E3A" w:rsidRDefault="00511E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34" w:rsidRDefault="004E6234" w:rsidP="00511E3A">
      <w:pPr>
        <w:spacing w:before="0" w:after="0" w:line="240" w:lineRule="auto"/>
      </w:pPr>
      <w:r>
        <w:separator/>
      </w:r>
    </w:p>
  </w:footnote>
  <w:footnote w:type="continuationSeparator" w:id="0">
    <w:p w:rsidR="004E6234" w:rsidRDefault="004E6234" w:rsidP="00511E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FA7"/>
    <w:multiLevelType w:val="hybridMultilevel"/>
    <w:tmpl w:val="BE7C0F28"/>
    <w:lvl w:ilvl="0" w:tplc="9A80B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2491D1D"/>
    <w:multiLevelType w:val="hybridMultilevel"/>
    <w:tmpl w:val="2D86CD10"/>
    <w:lvl w:ilvl="0" w:tplc="9A80B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802916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4E72F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D6301C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F140B4"/>
    <w:multiLevelType w:val="hybridMultilevel"/>
    <w:tmpl w:val="E53E0F1E"/>
    <w:lvl w:ilvl="0" w:tplc="9A80B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6F95F10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E91CA1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7A37C5"/>
    <w:multiLevelType w:val="hybridMultilevel"/>
    <w:tmpl w:val="13A4FF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B6E6791"/>
    <w:multiLevelType w:val="hybridMultilevel"/>
    <w:tmpl w:val="E7CCFCC6"/>
    <w:lvl w:ilvl="0" w:tplc="9A80B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01C504B"/>
    <w:multiLevelType w:val="hybridMultilevel"/>
    <w:tmpl w:val="13A4FF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06D7123"/>
    <w:multiLevelType w:val="hybridMultilevel"/>
    <w:tmpl w:val="13A4FF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33832C8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6659FF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C0418E2"/>
    <w:multiLevelType w:val="hybridMultilevel"/>
    <w:tmpl w:val="9670F38E"/>
    <w:lvl w:ilvl="0" w:tplc="FFFFFFFF">
      <w:start w:val="1"/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Symbol" w:hAnsi="Symbol" w:cs="Symbol" w:hint="default"/>
      </w:rPr>
    </w:lvl>
    <w:lvl w:ilvl="1" w:tplc="5324ED46">
      <w:start w:val="1"/>
      <w:numFmt w:val="decimal"/>
      <w:lvlText w:val="%2)"/>
      <w:lvlJc w:val="left"/>
      <w:pPr>
        <w:ind w:left="2716" w:hanging="360"/>
      </w:pPr>
      <w:rPr>
        <w:b w:val="0"/>
        <w:bCs w:val="0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566D8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5547B35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7" w15:restartNumberingAfterBreak="0">
    <w:nsid w:val="45A63812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8" w15:restartNumberingAfterBreak="0">
    <w:nsid w:val="483C60A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1C77C3"/>
    <w:multiLevelType w:val="hybridMultilevel"/>
    <w:tmpl w:val="404C058A"/>
    <w:lvl w:ilvl="0" w:tplc="558082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324ED46">
      <w:start w:val="1"/>
      <w:numFmt w:val="decimal"/>
      <w:lvlText w:val="%2)"/>
      <w:lvlJc w:val="left"/>
      <w:pPr>
        <w:ind w:left="900" w:hanging="360"/>
      </w:pPr>
      <w:rPr>
        <w:b w:val="0"/>
        <w:bCs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  <w:bCs w:val="0"/>
        <w:color w:val="auto"/>
        <w:sz w:val="22"/>
        <w:szCs w:val="22"/>
      </w:rPr>
    </w:lvl>
    <w:lvl w:ilvl="3" w:tplc="5DDEAC7A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 w:tplc="9A80B54E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E1F4A"/>
    <w:multiLevelType w:val="hybridMultilevel"/>
    <w:tmpl w:val="284A1AAE"/>
    <w:lvl w:ilvl="0" w:tplc="9A80B5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C328D"/>
    <w:multiLevelType w:val="hybridMultilevel"/>
    <w:tmpl w:val="195C389C"/>
    <w:lvl w:ilvl="0" w:tplc="F9D040CA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600A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34834F4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4" w15:restartNumberingAfterBreak="0">
    <w:nsid w:val="54DC3F7F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5" w15:restartNumberingAfterBreak="0">
    <w:nsid w:val="56013380"/>
    <w:multiLevelType w:val="hybridMultilevel"/>
    <w:tmpl w:val="EDD21B0C"/>
    <w:lvl w:ilvl="0" w:tplc="AC688106">
      <w:start w:val="1"/>
      <w:numFmt w:val="bullet"/>
      <w:lvlText w:val="-"/>
      <w:lvlJc w:val="left"/>
      <w:pPr>
        <w:ind w:left="2716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6" w15:restartNumberingAfterBreak="0">
    <w:nsid w:val="56AD66E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AC91516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8" w15:restartNumberingAfterBreak="0">
    <w:nsid w:val="5EC21088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9" w15:restartNumberingAfterBreak="0">
    <w:nsid w:val="5EF811C3"/>
    <w:multiLevelType w:val="hybridMultilevel"/>
    <w:tmpl w:val="13A4FF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71A1211"/>
    <w:multiLevelType w:val="hybridMultilevel"/>
    <w:tmpl w:val="3AD8B96C"/>
    <w:lvl w:ilvl="0" w:tplc="FCE44888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1" w15:restartNumberingAfterBreak="0">
    <w:nsid w:val="6FD62197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04734B3"/>
    <w:multiLevelType w:val="hybridMultilevel"/>
    <w:tmpl w:val="0BE0DDEC"/>
    <w:lvl w:ilvl="0" w:tplc="9A80B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4BB710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84B2198"/>
    <w:multiLevelType w:val="hybridMultilevel"/>
    <w:tmpl w:val="EA1CCF7A"/>
    <w:lvl w:ilvl="0" w:tplc="F10630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E79A2"/>
    <w:multiLevelType w:val="hybridMultilevel"/>
    <w:tmpl w:val="60EC9A9C"/>
    <w:lvl w:ilvl="0" w:tplc="CD98F8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633C72"/>
    <w:multiLevelType w:val="multilevel"/>
    <w:tmpl w:val="B6427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5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A"/>
    <w:rsid w:val="0017697C"/>
    <w:rsid w:val="001B60AE"/>
    <w:rsid w:val="004E6234"/>
    <w:rsid w:val="0050266C"/>
    <w:rsid w:val="00511E3A"/>
    <w:rsid w:val="005F0E11"/>
    <w:rsid w:val="007A502C"/>
    <w:rsid w:val="007F6922"/>
    <w:rsid w:val="00D0444F"/>
    <w:rsid w:val="00D313D1"/>
    <w:rsid w:val="00E4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64D4A-FEAE-4452-93D3-DEA282D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E3A"/>
    <w:pPr>
      <w:spacing w:before="120" w:after="120" w:line="23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E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E3A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11E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1E3A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1E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E3A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E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3A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5487</Words>
  <Characters>32924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Mariola Kowalkowska</cp:lastModifiedBy>
  <cp:revision>3</cp:revision>
  <dcterms:created xsi:type="dcterms:W3CDTF">2019-12-04T08:01:00Z</dcterms:created>
  <dcterms:modified xsi:type="dcterms:W3CDTF">2019-12-04T08:02:00Z</dcterms:modified>
</cp:coreProperties>
</file>